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99CA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-1000125</wp:posOffset>
            </wp:positionH>
            <wp:positionV relativeFrom="paragraph">
              <wp:posOffset>-1068070</wp:posOffset>
            </wp:positionV>
            <wp:extent cx="7550150" cy="10678160"/>
            <wp:effectExtent l="0" t="0" r="0" b="0"/>
            <wp:wrapNone/>
            <wp:docPr id="1" name="图片 1" descr="8-中共函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-中共函头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07EBCD">
      <w:pPr>
        <w:rPr>
          <w:rFonts w:hint="eastAsia"/>
        </w:rPr>
      </w:pPr>
    </w:p>
    <w:p w14:paraId="7C24951F">
      <w:pPr>
        <w:rPr>
          <w:rFonts w:hint="eastAsia"/>
        </w:rPr>
      </w:pPr>
    </w:p>
    <w:p w14:paraId="160705C9">
      <w:pPr>
        <w:rPr>
          <w:rFonts w:hint="eastAsia"/>
        </w:rPr>
      </w:pPr>
    </w:p>
    <w:p w14:paraId="4E608255">
      <w:pPr>
        <w:rPr>
          <w:rFonts w:hint="eastAsia"/>
        </w:rPr>
      </w:pPr>
    </w:p>
    <w:p w14:paraId="3CA3DFD6">
      <w:pPr>
        <w:rPr>
          <w:rFonts w:hint="eastAsia"/>
        </w:rPr>
      </w:pPr>
    </w:p>
    <w:p w14:paraId="75D15D62">
      <w:pPr>
        <w:rPr>
          <w:rFonts w:hint="eastAsia"/>
        </w:rPr>
      </w:pPr>
    </w:p>
    <w:p w14:paraId="4602A8A1">
      <w:pPr>
        <w:rPr>
          <w:rFonts w:hint="eastAsia"/>
        </w:rPr>
      </w:pPr>
    </w:p>
    <w:p w14:paraId="7814F5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 xml:space="preserve">关于开展2025年“技能成才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强国有我”系列育人活动的通知</w:t>
      </w:r>
    </w:p>
    <w:p w14:paraId="32A3F0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127FBD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为深入贯彻党的二十届三中全会和全国教育大会精神，学习贯彻习近平总书记关于职业教育的重要指示批示精神，落实《教育强国建设规划纲要(2024—2035年)》部署，加强职业学校学生思想政治教育，培养德技并修的高素质技能人才，根据《教育部办公厅关于开展2025年职业学校“技能成才  强国有我”系列育人活动的通知》(教职成厅函〔2025〕14号)精神，现就开展我校2025年“技能成才  强国有我”系列育人活动有关事项通知如下。</w:t>
      </w:r>
    </w:p>
    <w:p w14:paraId="72A518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一、活动主题</w:t>
      </w:r>
    </w:p>
    <w:p w14:paraId="348549D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赓续红色血脉·立志技能报国</w:t>
      </w:r>
    </w:p>
    <w:p w14:paraId="7926321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二、活动时间</w:t>
      </w:r>
    </w:p>
    <w:p w14:paraId="2246440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2025年6月-9月</w:t>
      </w:r>
    </w:p>
    <w:p w14:paraId="5AECA1D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三、基本原则</w:t>
      </w:r>
    </w:p>
    <w:p w14:paraId="5C15F51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(一)坚持正确方向</w:t>
      </w:r>
    </w:p>
    <w:p w14:paraId="44C6752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坚持不懈用习近平新时代中国特色社会主义思想铸魂育人，引导学生坚定理想信念，走技能成才、技能报国之路。</w:t>
      </w:r>
    </w:p>
    <w:p w14:paraId="5BB49CF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(二)坚持育人为本</w:t>
      </w:r>
    </w:p>
    <w:p w14:paraId="678492A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强化五育并举，促进学生德智体美劳全面发展。提升学生心理调适能力和自我保护能力，维护学生身心健康。</w:t>
      </w:r>
    </w:p>
    <w:p w14:paraId="2983F17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(三)坚持面向人人</w:t>
      </w:r>
    </w:p>
    <w:p w14:paraId="5BE711D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根据学生认知特点、兴趣需求，开展各类学生易于接受、便于参与、乐于展示的育人活动，助力每一名学生的成长发展。</w:t>
      </w:r>
    </w:p>
    <w:p w14:paraId="1F33326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四、活动内容</w:t>
      </w:r>
    </w:p>
    <w:p w14:paraId="08E1C3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(一)爱国主义教育活动</w:t>
      </w:r>
    </w:p>
    <w:p w14:paraId="6D7052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利用暑期开展以“爱国主义教育”为主题的社会实践，组织学生参观革命遗址、纪念馆、博物馆、烈士陵园等，深入了解革命历史，引导学生铭记历史、缅怀先烈、珍爱和平。围绕“铭记历史展望未来”“新时代新职业新工匠”“祖国成就我来讲”等主题开展演讲、征文等活动，引导学生结合所学专业，畅谈技能报国理想。(牵头部门：团委、学生工作部；责任部门：各二级学院)</w:t>
      </w:r>
    </w:p>
    <w:p w14:paraId="32F8BAB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组织开展中国共产党人精神谱系宣讲活动，开展红色教育主题班会、党团日活动、“国旗下的思政课”、秋季开学思政第一课等活动，进一步激发学生爱党爱国爱社会主义热情。(牵头部门：团委、学生工作部；责任部门：各二级学院)</w:t>
      </w:r>
    </w:p>
    <w:p w14:paraId="3DC2CBA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(二)劳动习惯养成行动</w:t>
      </w:r>
    </w:p>
    <w:p w14:paraId="08077F8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开设“劳模工匠大讲堂”，邀请劳模工匠为全体学生讲好“开学第一课”和“匠人匠心”的行业故事等“大思政课”，引导学生树立正确的成才观、职业观、就业观；开展“劳模面对面”活动，让学生在与劳模工匠面对面交流的过程中，培养职业精神、职业道德。(牵头部门：宣传统战部)</w:t>
      </w:r>
    </w:p>
    <w:p w14:paraId="6C3FF38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加强职业生涯规划教育，引导学生正确认识自我和所学专业，结合学业基础、技能水平、兴趣特长等，明确发展方向。组织学生积极参加全国大学生职业规划大赛。(牵头部门：团招生就业处、创新创业指导中心；责任部门：各二级学院)</w:t>
      </w:r>
    </w:p>
    <w:p w14:paraId="3B5B5D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(三)技能传承中华优秀传统文化活动</w:t>
      </w:r>
    </w:p>
    <w:p w14:paraId="75CB6A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深入开展学雷锋活动，鼓励学生运用所学专业与技能参加志愿服务，回报社会。组织学生参与、体验非遗技艺，提高学生学习、保护、传承和宣传非遗的积极性。(牵头部门：团委、学生工作部；责任部门：各二级学院)</w:t>
      </w:r>
    </w:p>
    <w:p w14:paraId="53B6E68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举办诵读会、诗词比赛、分享会、作品展示等活动，推动学生梳理中华经典所包含的职业元素、教育元素，学习、交流相关经典篇目。发挥中华经典的美育功能，组织学生阅读、诵读、演唱、赏析、书写、篆刻中华经典，提高审美素养。组织学生积极参与中华经典诵写讲大赛、“礼敬中华优秀传统文化”宣传教育活动等。(牵头部门：基础课部；责任部门：各二级学院)</w:t>
      </w:r>
    </w:p>
    <w:p w14:paraId="2F6223E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(四)“未来工匠”读书行动</w:t>
      </w:r>
    </w:p>
    <w:p w14:paraId="6CF4CD5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加强学生阅读指导，营造浓厚阅读氛围。鼓励学生认真阅读《习近平新时代中国特色社会主义思想专题摘编》《习近平著作选读》，深入学习领会习近平新时代中国特色社会主义思想，引导学生听党话、跟党走。结合学生所学专业、成才目标，广泛阅读大国工匠传记和社会发展、技术进步等方面书籍，弘扬工匠精神；加强中华传统经典、红色经典和当代经典阅读，增强文化自信；加强科学普及、科技史、科学发展趋势方面的阅读，培养科学素养、创新意识和探究能力。(牵头部门：图书档案馆；责任部门：各二级学院)</w:t>
      </w:r>
    </w:p>
    <w:p w14:paraId="30A7AED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(五)“文明风采”活动</w:t>
      </w:r>
    </w:p>
    <w:p w14:paraId="4CAEFD9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sz w:val="32"/>
          <w:szCs w:val="32"/>
          <w:lang w:val="en-US" w:eastAsia="zh-CN"/>
        </w:rPr>
        <w:t>1.铸牢中华民族共同体意识。通过专题讲座、实践研学、主题研修等方式，面向全体师生讲好中华民族故事，大力宣介中华民族共同体意识。围绕庆祝西藏自治区成立60周年、新疆维吾尔自治区成立70周年等主题，积极开展各民族学生共同参加的学习教育、技能竞赛、文体活动和社会实践，引导学生牢固树立休戚与共、荣辱与共、生死与共、命运与共的共同体理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(牵头部门：宣传统战部、团委、学生工作部；责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任部门：各二级学院)</w:t>
      </w:r>
    </w:p>
    <w:p w14:paraId="000425B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结合大学生特点，紧抓开学季、实习季、毕业季等，开展知识讲座、拓展训练、团体辅导等心理健康教育活动，培育学生自立自强、敬业乐群的心理品质和良好的职业心理素质。结合全国安全生产月、消防宣传月、交通安全日等，开展安全教育主题活动。切实开展国防教育、网络安全、文明上网、禁毒、防灾减灾救灾、防诈骗、“节粮节水节电”等方面的教育。组织学生积极参加第十届全国学生“学宪法  讲宪法”系列活动。(牵头部门：学生工作部；责任部门：各二级学院)</w:t>
      </w:r>
    </w:p>
    <w:p w14:paraId="0992365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五、工作要求</w:t>
      </w:r>
    </w:p>
    <w:p w14:paraId="7A12615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(一)强化统筹部署</w:t>
      </w:r>
    </w:p>
    <w:p w14:paraId="2D1CC6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各单位要高度重视、精心组织，明确责任分工，细化并落实本单位实施方案，推动育人活动全覆盖。</w:t>
      </w:r>
    </w:p>
    <w:p w14:paraId="01DA014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(二)加强宣传推广</w:t>
      </w:r>
    </w:p>
    <w:p w14:paraId="15D83E7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各单位要利用新媒体平台进行优秀活动案例宣传展示，讲好郑职故事；把握正确政治方向、舆论导向、价值取向，防止“低级红”“高级黑”。</w:t>
      </w:r>
    </w:p>
    <w:p w14:paraId="3571FD9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(三)注重总结改进</w:t>
      </w:r>
    </w:p>
    <w:p w14:paraId="583E74E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各单位要统计活动数据、撰写活动工作总结、制作总结视频，及时开展交流研讨，推广典型经验，改进存在的不足。</w:t>
      </w:r>
    </w:p>
    <w:p w14:paraId="37C77A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六、材料报送</w:t>
      </w:r>
    </w:p>
    <w:p w14:paraId="3A136A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(一)材料要求</w:t>
      </w:r>
    </w:p>
    <w:p w14:paraId="6129FFA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牵头部门负责提交活动材料。需要提交的材料包括：活动工作总结、活动开展情况统计表(附件)、活动视频及其配套材料。</w:t>
      </w:r>
    </w:p>
    <w:p w14:paraId="0E4C8F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1.报送活动工作总结。工作总结包括基本情况、主要做法、取得的成效、下一步建议等，字数1000字以内。</w:t>
      </w:r>
    </w:p>
    <w:p w14:paraId="1F61E64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报送活动视频材料。结合学校实际、专业特色，选取开展效果好、画面感强、有典型性的具体活动制作优秀案例视频。视频内容主要呈现活动实况，介绍经验做法、成效等方面内容，适宜播放展示和宣传推广。单个视频要求3-5分钟，MP4格式，同时附文档说明(活动情况、典型经验做法)、活动现场图片(附简要图注，每张图片文件大小不低于2MB，不少于5张)。</w:t>
      </w:r>
    </w:p>
    <w:p w14:paraId="5E09BB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3.以上材料需汇总打包后一并报送。活动各项材料只报送电子版，报送邮箱：1035288862@qq.com。</w:t>
      </w:r>
    </w:p>
    <w:p w14:paraId="5C97DAB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9" w:beforeLines="25" w:beforeAutospacing="0" w:after="79" w:afterLines="25" w:afterAutospacing="0" w:line="324" w:lineRule="auto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(二)报送时间</w:t>
      </w:r>
    </w:p>
    <w:p w14:paraId="502BF55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本次活动材料要求9月5日前提交，材料包括活动工作总结、活动视频材料、活动开展情况统计表。联系人：毛杜娟，电话：17773390751。</w:t>
      </w:r>
    </w:p>
    <w:p w14:paraId="59D6F86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597A2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附件：2025年活动开展情况统计表</w:t>
      </w:r>
    </w:p>
    <w:p w14:paraId="213F29A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B315A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53013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039E89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right="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2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20"/>
          <w:kern w:val="0"/>
          <w:sz w:val="32"/>
          <w:szCs w:val="32"/>
          <w:shd w:val="clear" w:fill="FFFFFF"/>
          <w:lang w:val="en-US" w:eastAsia="zh-CN" w:bidi="ar"/>
        </w:rPr>
        <w:t>中共湖南化工职业技术学院委员会宣传统战部</w:t>
      </w:r>
    </w:p>
    <w:p w14:paraId="0FE02EE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right="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2025年7月8日　　　　  </w:t>
      </w:r>
    </w:p>
    <w:p w14:paraId="62BCD3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Autospacing="0" w:line="324" w:lineRule="auto"/>
        <w:ind w:left="0" w:right="0" w:firstLine="645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2FAB40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0969D7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01BC25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71FF6331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  <w:sectPr>
          <w:footerReference r:id="rId3" w:type="default"/>
          <w:pgSz w:w="11906" w:h="16838"/>
          <w:pgMar w:top="1701" w:right="1474" w:bottom="1587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3ED71279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2025年活动开展情况统计表</w:t>
      </w:r>
    </w:p>
    <w:p w14:paraId="3FCF4D20">
      <w:pPr>
        <w:adjustRightInd w:val="0"/>
        <w:snapToGrid w:val="0"/>
        <w:jc w:val="left"/>
        <w:rPr>
          <w:rFonts w:hint="eastAsia" w:ascii="楷体_GB2312" w:hAnsi="仿宋_GB2312" w:eastAsia="楷体_GB2312" w:cs="仿宋_GB2312"/>
          <w:bCs/>
          <w:sz w:val="28"/>
          <w:szCs w:val="28"/>
        </w:rPr>
      </w:pPr>
    </w:p>
    <w:tbl>
      <w:tblPr>
        <w:tblStyle w:val="6"/>
        <w:tblW w:w="88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3112"/>
        <w:gridCol w:w="1768"/>
        <w:gridCol w:w="2136"/>
        <w:gridCol w:w="1065"/>
      </w:tblGrid>
      <w:tr w14:paraId="1AB00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E0DE7D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A85E5D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活动项目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7042C2C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开展活动总数</w:t>
            </w: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7804EF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参与活动学生数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22B583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07F3DD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1364B9C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2B3A32E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爱国主义教育活动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34EC30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21B46C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2FB17D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6B59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DE70E6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703AF080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劳动习惯养成行动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4E05EE3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6B94A7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B31CF9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029765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19F25C6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3F6AEA7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技能传承中华优秀传统文化活动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0706DD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23EE05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0FA205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F596D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B53BDD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E4BC10F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“未来工匠”读书行动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D25D27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B036AB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ACC56A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B6A0F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0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1981F19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7506961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“文明风采”活动</w:t>
            </w:r>
          </w:p>
        </w:tc>
        <w:tc>
          <w:tcPr>
            <w:tcW w:w="1768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D580D1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CECC6E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A1D8593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20566B21">
      <w:pPr>
        <w:rPr>
          <w:rFonts w:hint="eastAsia"/>
        </w:rPr>
      </w:pPr>
    </w:p>
    <w:p w14:paraId="0236D2C0">
      <w:pPr>
        <w:adjustRightInd w:val="0"/>
        <w:snapToGrid w:val="0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“活动总数”为围绕每个系列活动主题开展的子活动数量。</w:t>
      </w:r>
    </w:p>
    <w:p w14:paraId="68D0EAD1">
      <w:pPr>
        <w:rPr>
          <w:rFonts w:hint="eastAsia"/>
        </w:rPr>
      </w:pPr>
    </w:p>
    <w:p w14:paraId="5EA39D0B">
      <w:pPr>
        <w:rPr>
          <w:rFonts w:hint="default"/>
          <w:lang w:val="en-US" w:eastAsia="zh-CN"/>
        </w:rPr>
      </w:pPr>
    </w:p>
    <w:sectPr>
      <w:pgSz w:w="11906" w:h="16838"/>
      <w:pgMar w:top="1701" w:right="1474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魏碑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8C4C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AA6ECC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AA6ECC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34DC9"/>
    <w:multiLevelType w:val="multilevel"/>
    <w:tmpl w:val="19E34DC9"/>
    <w:lvl w:ilvl="0" w:tentative="0">
      <w:start w:val="1"/>
      <w:numFmt w:val="decimal"/>
      <w:lvlText w:val="%1."/>
      <w:lvlJc w:val="left"/>
      <w:pPr>
        <w:tabs>
          <w:tab w:val="left" w:pos="284"/>
        </w:tabs>
      </w:pPr>
      <w:rPr>
        <w:rFonts w:hint="eastAsia" w:cs="Times New Roman"/>
      </w:rPr>
    </w:lvl>
    <w:lvl w:ilvl="1" w:tentative="0">
      <w:start w:val="8"/>
      <w:numFmt w:val="decimal"/>
      <w:pStyle w:val="2"/>
      <w:suff w:val="space"/>
      <w:lvlText w:val="%1.%2."/>
      <w:lvlJc w:val="left"/>
      <w:rPr>
        <w:rFonts w:hint="eastAsia" w:ascii="仿宋_GB2312" w:eastAsia="仿宋_GB2312" w:cs="Times New Roman"/>
      </w:rPr>
    </w:lvl>
    <w:lvl w:ilvl="2" w:tentative="0">
      <w:start w:val="1"/>
      <w:numFmt w:val="decimal"/>
      <w:lvlText w:val="%1.%2.%3."/>
      <w:lvlJc w:val="left"/>
      <w:pPr>
        <w:tabs>
          <w:tab w:val="left" w:pos="567"/>
        </w:tabs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E471E"/>
    <w:rsid w:val="225E471E"/>
    <w:rsid w:val="6A2940CB"/>
    <w:rsid w:val="780D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Lines="50" w:afterLines="50"/>
      <w:jc w:val="left"/>
      <w:outlineLvl w:val="1"/>
    </w:pPr>
    <w:rPr>
      <w:rFonts w:ascii="Calibri Light" w:hAnsi="Calibri Light" w:eastAsia="黑体" w:cs="Calibri Light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2605</Words>
  <Characters>2682</Characters>
  <Lines>0</Lines>
  <Paragraphs>0</Paragraphs>
  <TotalTime>10</TotalTime>
  <ScaleCrop>false</ScaleCrop>
  <LinksUpToDate>false</LinksUpToDate>
  <CharactersWithSpaces>2723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2025-07-08T06:42:00Z</dcterms:created>
  <dc:creator>暖阳</dc:creator>
  <cp:lastModifiedBy>风风火火</cp:lastModifiedBy>
  <dcterms:modified xsi:type="dcterms:W3CDTF">2025-07-08T09:02:38Z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D2F262CC168240E8834E42A02C71E28A_11</vt:lpwstr>
  </property>
  <property fmtid="{D5CDD505-2E9C-101B-9397-08002B2CF9AE}" pid="4" name="KSOTemplateDocerSaveRecord">
    <vt:lpwstr>eyJoZGlkIjoiM2VjMjBhZTc2ZjBmN2FkM2YzYTQzYTcyZjc1NmQ3ODQiLCJ1c2VySWQiOiI3NTczMjMyNjkifQ==</vt:lpwstr>
  </property>
</Properties>
</file>