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909E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附件1：</w:t>
      </w:r>
    </w:p>
    <w:p w14:paraId="327E57B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jc w:val="center"/>
        <w:textAlignment w:val="auto"/>
        <w:rPr>
          <w:rStyle w:val="5"/>
          <w:rFonts w:hint="eastAsia" w:asciiTheme="majorEastAsia" w:hAnsiTheme="majorEastAsia" w:eastAsiaTheme="majorEastAsia" w:cstheme="majorEastAsia"/>
          <w:color w:val="00439A"/>
          <w:sz w:val="30"/>
          <w:szCs w:val="30"/>
        </w:rPr>
      </w:pPr>
      <w:r>
        <w:rPr>
          <w:rStyle w:val="5"/>
          <w:rFonts w:hint="eastAsia" w:asciiTheme="majorEastAsia" w:hAnsiTheme="majorEastAsia" w:eastAsiaTheme="majorEastAsia" w:cstheme="majorEastAsia"/>
          <w:color w:val="00439A"/>
          <w:sz w:val="30"/>
          <w:szCs w:val="30"/>
        </w:rPr>
        <w:t>教育部职业教育发展中心2024年职业教育理论与实践研究</w:t>
      </w:r>
    </w:p>
    <w:p w14:paraId="1619D3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jc w:val="center"/>
        <w:textAlignment w:val="auto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Style w:val="5"/>
          <w:rFonts w:hint="eastAsia" w:asciiTheme="majorEastAsia" w:hAnsiTheme="majorEastAsia" w:eastAsiaTheme="majorEastAsia" w:cstheme="majorEastAsia"/>
          <w:color w:val="00439A"/>
          <w:sz w:val="30"/>
          <w:szCs w:val="30"/>
        </w:rPr>
        <w:t>支持课题清单</w:t>
      </w:r>
    </w:p>
    <w:p w14:paraId="3E6A7A9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</w:p>
    <w:p w14:paraId="19204F3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</w:rPr>
        <w:t>ZC01. 职业教育中高本思想政治教育一体化建设</w:t>
      </w:r>
    </w:p>
    <w:p w14:paraId="46FDE1F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ZC02. 新时期高技能人才素质能力结构和培养实践路径</w:t>
      </w:r>
    </w:p>
    <w:p w14:paraId="2E5446B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ZC03. 综合高中发展机制</w:t>
      </w:r>
    </w:p>
    <w:p w14:paraId="5114FDF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ZC04. 职业教育考试招生制度</w:t>
      </w:r>
    </w:p>
    <w:p w14:paraId="4D14937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ZC05. 区域范围内高校分类发展与高职办学定位</w:t>
      </w:r>
    </w:p>
    <w:p w14:paraId="1B54198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ZC06. 职业教育产教融合新形态</w:t>
      </w:r>
    </w:p>
    <w:p w14:paraId="7BA44E4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ZC07. 人口变化与职业教育资源配置</w:t>
      </w:r>
    </w:p>
    <w:p w14:paraId="380C14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ZC08. 职业教育与普通教育融合发展的体制机制</w:t>
      </w:r>
    </w:p>
    <w:p w14:paraId="7A134C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ZC09. 区域（行业）职业教育“走出去”</w:t>
      </w:r>
    </w:p>
    <w:p w14:paraId="1FC772A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ZC10. 中国职业教育“走出去”模式、标准及政策建议</w:t>
      </w:r>
    </w:p>
    <w:p w14:paraId="5C0B7AA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480" w:firstLineChars="200"/>
        <w:jc w:val="both"/>
        <w:textAlignment w:val="auto"/>
      </w:pPr>
      <w:r>
        <w:rPr>
          <w:rFonts w:hint="eastAsia" w:asciiTheme="minorEastAsia" w:hAnsiTheme="minorEastAsia" w:eastAsiaTheme="minorEastAsia" w:cstheme="minorEastAsia"/>
        </w:rPr>
        <w:t>ZC11. 职业教育专业与区域产业发展的适配与调整机制</w:t>
      </w:r>
    </w:p>
    <w:p w14:paraId="2E6FD98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091A60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802DF"/>
    <w:rsid w:val="07A8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2025-01-08T01:28:00Z</dcterms:created>
  <dc:creator>Shelly Liu</dc:creator>
  <cp:lastModifiedBy>Shelly Liu</cp:lastModifiedBy>
  <dcterms:modified xsi:type="dcterms:W3CDTF">2025-01-08T01:30:04Z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9581BC5617154033B3E8C7D77FFE3284_11</vt:lpwstr>
  </property>
  <property fmtid="{D5CDD505-2E9C-101B-9397-08002B2CF9AE}" pid="4" name="KSOTemplateDocerSaveRecord">
    <vt:lpwstr>eyJoZGlkIjoiNThiZDhmYTIyZDc2ZDA3MTZiZjcwYzJmNTAzMmUzNjIiLCJ1c2VySWQiOiI0MjQxNDY2MDUifQ==</vt:lpwstr>
  </property>
</Properties>
</file>