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hint="eastAsia" w:ascii="宋体" w:hAnsi="宋体" w:cs="宋体"/>
          <w:kern w:val="0"/>
          <w:sz w:val="24"/>
        </w:rPr>
        <w:t xml:space="preserve">                                                      </w:t>
      </w:r>
    </w:p>
    <w:p>
      <w:pPr>
        <w:jc w:val="center"/>
        <w:rPr>
          <w:rFonts w:eastAsia="黑体"/>
          <w:sz w:val="36"/>
        </w:rPr>
      </w:pPr>
    </w:p>
    <w:p>
      <w:pPr>
        <w:jc w:val="center"/>
        <w:rPr>
          <w:rFonts w:eastAsia="黑体"/>
          <w:b/>
          <w:sz w:val="52"/>
          <w:szCs w:val="52"/>
        </w:rPr>
      </w:pPr>
      <w:bookmarkStart w:id="0" w:name="_Hlk160805985"/>
      <w:r>
        <w:rPr>
          <w:rFonts w:hint="eastAsia" w:eastAsia="黑体"/>
          <w:b/>
          <w:sz w:val="52"/>
          <w:szCs w:val="52"/>
        </w:rPr>
        <w:t>湖南化工职业技术学院</w:t>
      </w:r>
    </w:p>
    <w:bookmarkEnd w:id="0"/>
    <w:p>
      <w:pPr>
        <w:jc w:val="center"/>
        <w:rPr>
          <w:rFonts w:eastAsia="黑体"/>
          <w:b/>
          <w:sz w:val="52"/>
          <w:szCs w:val="52"/>
        </w:rPr>
      </w:pPr>
      <w:r>
        <w:rPr>
          <w:rFonts w:hint="eastAsia" w:ascii="黑体" w:hAnsi="黑体" w:eastAsia="黑体" w:cs="黑体"/>
          <w:b/>
          <w:bCs/>
          <w:sz w:val="52"/>
          <w:szCs w:val="52"/>
        </w:rPr>
        <w:t>文印室耗材及维修服务采购</w:t>
      </w:r>
      <w:r>
        <w:rPr>
          <w:rFonts w:hint="eastAsia" w:eastAsia="黑体"/>
          <w:b/>
          <w:sz w:val="52"/>
          <w:szCs w:val="52"/>
        </w:rPr>
        <w:t>项目</w:t>
      </w:r>
    </w:p>
    <w:p>
      <w:pPr>
        <w:spacing w:before="312" w:beforeLines="100"/>
        <w:jc w:val="center"/>
        <w:rPr>
          <w:rFonts w:ascii="黑体" w:hAnsi="黑体" w:eastAsia="黑体" w:cs="黑体"/>
          <w:sz w:val="84"/>
          <w:szCs w:val="84"/>
        </w:rPr>
      </w:pPr>
      <w:r>
        <w:rPr>
          <w:rFonts w:hint="eastAsia" w:ascii="黑体" w:hAnsi="黑体" w:eastAsia="黑体" w:cs="黑体"/>
          <w:sz w:val="84"/>
          <w:szCs w:val="84"/>
        </w:rPr>
        <w:t>比选文件</w:t>
      </w:r>
    </w:p>
    <w:p/>
    <w:p/>
    <w:p/>
    <w:p/>
    <w:p/>
    <w:p/>
    <w:p/>
    <w:p/>
    <w:p/>
    <w:p/>
    <w:p/>
    <w:p/>
    <w:p/>
    <w:p/>
    <w:p/>
    <w:p/>
    <w:p/>
    <w:p/>
    <w:p/>
    <w:p/>
    <w:p/>
    <w:p/>
    <w:p/>
    <w:p/>
    <w:p/>
    <w:p>
      <w:pPr>
        <w:jc w:val="center"/>
        <w:rPr>
          <w:sz w:val="32"/>
        </w:rPr>
      </w:pPr>
      <w:r>
        <w:rPr>
          <w:rFonts w:hint="eastAsia"/>
          <w:sz w:val="32"/>
        </w:rPr>
        <w:t>202</w:t>
      </w:r>
      <w:r>
        <w:rPr>
          <w:sz w:val="32"/>
        </w:rPr>
        <w:t>4</w:t>
      </w:r>
      <w:r>
        <w:rPr>
          <w:rFonts w:hint="eastAsia"/>
          <w:sz w:val="32"/>
        </w:rPr>
        <w:t>年</w:t>
      </w:r>
      <w:r>
        <w:rPr>
          <w:rFonts w:hint="eastAsia"/>
          <w:sz w:val="32"/>
          <w:lang w:val="en-US" w:eastAsia="zh-CN"/>
        </w:rPr>
        <w:t>7</w:t>
      </w:r>
      <w:r>
        <w:rPr>
          <w:rFonts w:hint="eastAsia"/>
          <w:sz w:val="32"/>
        </w:rPr>
        <w:t>月</w:t>
      </w:r>
    </w:p>
    <w:p/>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湖南化工职业技术学院</w:t>
      </w:r>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文印室耗材及维修服务采购项目比选公告</w:t>
      </w:r>
    </w:p>
    <w:p>
      <w:pPr>
        <w:widowControl/>
        <w:spacing w:before="124" w:beforeLines="40" w:after="124" w:afterLines="40" w:line="360" w:lineRule="auto"/>
        <w:ind w:firstLine="360" w:firstLineChars="150"/>
        <w:rPr>
          <w:rFonts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ascii="宋体" w:hAnsi="宋体" w:cs="宋体"/>
          <w:color w:val="000000"/>
          <w:kern w:val="0"/>
          <w:sz w:val="24"/>
        </w:rPr>
        <w:t>文印室耗材及维修服务采购项目</w:t>
      </w:r>
      <w:r>
        <w:rPr>
          <w:rFonts w:ascii="宋体" w:hAnsi="宋体" w:cs="宋体"/>
          <w:color w:val="000000"/>
          <w:kern w:val="0"/>
          <w:sz w:val="24"/>
        </w:rPr>
        <w:t>进行招标，现将招投标工作事宜公告如下：</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一、</w:t>
      </w:r>
      <w:r>
        <w:rPr>
          <w:rFonts w:hint="eastAsia" w:ascii="宋体" w:hAnsi="宋体" w:cs="宋体"/>
          <w:b/>
          <w:bCs/>
          <w:color w:val="000000"/>
          <w:kern w:val="0"/>
          <w:sz w:val="24"/>
        </w:rPr>
        <w:t>采购项目基本概况</w:t>
      </w:r>
    </w:p>
    <w:p>
      <w:pPr>
        <w:widowControl/>
        <w:spacing w:before="124" w:beforeLines="40" w:after="124" w:afterLines="40" w:line="360" w:lineRule="auto"/>
        <w:ind w:firstLine="480" w:firstLineChars="200"/>
        <w:rPr>
          <w:sz w:val="24"/>
        </w:rPr>
      </w:pPr>
      <w:r>
        <w:rPr>
          <w:rFonts w:hint="eastAsia" w:ascii="宋体" w:hAnsi="宋体" w:cs="宋体"/>
          <w:color w:val="000000"/>
          <w:kern w:val="0"/>
          <w:sz w:val="24"/>
        </w:rPr>
        <w:t>1、</w:t>
      </w:r>
      <w:r>
        <w:rPr>
          <w:rFonts w:ascii="宋体" w:hAnsi="宋体" w:cs="宋体"/>
          <w:color w:val="000000"/>
          <w:kern w:val="0"/>
          <w:sz w:val="24"/>
        </w:rPr>
        <w:t>项目名称：</w:t>
      </w:r>
      <w:r>
        <w:rPr>
          <w:rFonts w:hint="eastAsia"/>
          <w:sz w:val="24"/>
        </w:rPr>
        <w:t xml:space="preserve"> 文印室耗材及维修服务采购项目</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2、采购方式：比选采购</w:t>
      </w:r>
    </w:p>
    <w:p>
      <w:pPr>
        <w:widowControl/>
        <w:spacing w:before="124" w:beforeLines="40" w:after="124" w:afterLines="40" w:line="360" w:lineRule="auto"/>
        <w:ind w:firstLine="480" w:firstLineChars="200"/>
        <w:rPr>
          <w:rFonts w:hint="eastAsia" w:ascii="宋体" w:hAnsi="宋体" w:eastAsia="宋体" w:cs="宋体"/>
          <w:color w:val="000000"/>
          <w:kern w:val="0"/>
          <w:sz w:val="24"/>
          <w:lang w:eastAsia="zh-CN"/>
        </w:rPr>
      </w:pPr>
      <w:bookmarkStart w:id="1" w:name="_Hlk144221827"/>
      <w:r>
        <w:rPr>
          <w:rFonts w:hint="eastAsia" w:ascii="宋体" w:hAnsi="宋体" w:cs="宋体"/>
          <w:color w:val="000000"/>
          <w:kern w:val="0"/>
          <w:sz w:val="24"/>
        </w:rPr>
        <w:t>3、采购预算：</w:t>
      </w:r>
      <w:r>
        <w:rPr>
          <w:rFonts w:hint="eastAsia" w:ascii="宋体" w:hAnsi="宋体" w:cs="宋体"/>
          <w:kern w:val="0"/>
          <w:sz w:val="24"/>
          <w:lang w:val="en-US" w:eastAsia="zh-CN"/>
        </w:rPr>
        <w:t>3</w:t>
      </w:r>
      <w:r>
        <w:rPr>
          <w:rFonts w:hint="eastAsia" w:ascii="宋体" w:hAnsi="宋体" w:cs="宋体"/>
          <w:kern w:val="0"/>
          <w:sz w:val="24"/>
        </w:rPr>
        <w:t>0万元</w:t>
      </w:r>
      <w:bookmarkEnd w:id="1"/>
      <w:r>
        <w:rPr>
          <w:rFonts w:hint="eastAsia" w:ascii="宋体" w:hAnsi="宋体" w:cs="宋体"/>
          <w:kern w:val="0"/>
          <w:sz w:val="24"/>
          <w:lang w:eastAsia="zh-CN"/>
        </w:rPr>
        <w:t>（</w:t>
      </w:r>
      <w:r>
        <w:rPr>
          <w:rFonts w:hint="eastAsia" w:ascii="宋体" w:hAnsi="宋体" w:cs="宋体"/>
          <w:kern w:val="0"/>
          <w:sz w:val="24"/>
          <w:lang w:val="en-US" w:eastAsia="zh-CN"/>
        </w:rPr>
        <w:t>以实际采购为准</w:t>
      </w:r>
      <w:r>
        <w:rPr>
          <w:rFonts w:hint="eastAsia" w:ascii="宋体" w:hAnsi="宋体" w:cs="宋体"/>
          <w:kern w:val="0"/>
          <w:sz w:val="24"/>
          <w:lang w:eastAsia="zh-CN"/>
        </w:rPr>
        <w:t>）</w:t>
      </w:r>
    </w:p>
    <w:p>
      <w:pPr>
        <w:pStyle w:val="81"/>
        <w:widowControl/>
        <w:numPr>
          <w:ilvl w:val="1"/>
          <w:numId w:val="1"/>
        </w:numPr>
        <w:spacing w:before="124" w:beforeLines="40" w:after="124" w:afterLines="40" w:line="360" w:lineRule="auto"/>
        <w:ind w:firstLineChars="0"/>
        <w:rPr>
          <w:rFonts w:ascii="宋体" w:hAnsi="宋体" w:cs="宋体"/>
          <w:color w:val="000000"/>
          <w:kern w:val="0"/>
          <w:sz w:val="24"/>
        </w:rPr>
      </w:pPr>
      <w:r>
        <w:rPr>
          <w:rFonts w:hint="eastAsia" w:ascii="宋体" w:hAnsi="宋体" w:cs="宋体"/>
          <w:b/>
          <w:bCs/>
          <w:color w:val="000000"/>
          <w:kern w:val="0"/>
          <w:sz w:val="24"/>
        </w:rPr>
        <w:t>资格条件</w:t>
      </w:r>
    </w:p>
    <w:p>
      <w:pPr>
        <w:widowControl/>
        <w:spacing w:line="360" w:lineRule="auto"/>
        <w:ind w:left="284"/>
        <w:rPr>
          <w:rFonts w:ascii="宋体" w:hAnsi="宋体" w:cs="宋体"/>
          <w:color w:val="000000"/>
          <w:kern w:val="0"/>
          <w:sz w:val="24"/>
        </w:rPr>
      </w:pPr>
      <w:bookmarkStart w:id="2" w:name="_Hlk160807244"/>
      <w:r>
        <w:rPr>
          <w:rFonts w:hint="eastAsia" w:ascii="宋体" w:hAnsi="宋体" w:cs="宋体"/>
          <w:color w:val="000000"/>
          <w:kern w:val="0"/>
          <w:sz w:val="24"/>
        </w:rPr>
        <w:t>（一）基本资格条件</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pStyle w:val="81"/>
        <w:widowControl/>
        <w:numPr>
          <w:ilvl w:val="0"/>
          <w:numId w:val="2"/>
        </w:numPr>
        <w:spacing w:line="360" w:lineRule="auto"/>
        <w:ind w:firstLineChars="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pStyle w:val="81"/>
        <w:widowControl/>
        <w:numPr>
          <w:ilvl w:val="0"/>
          <w:numId w:val="2"/>
        </w:numPr>
        <w:spacing w:line="360" w:lineRule="auto"/>
        <w:ind w:firstLineChars="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sz w:val="24"/>
        </w:rPr>
        <w:t>6、已入驻湖南省财政厅政府采购电子卖场证明。</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8、本项目不接受联合体参与投标。</w:t>
      </w:r>
    </w:p>
    <w:bookmarkEnd w:id="2"/>
    <w:p>
      <w:pPr>
        <w:widowControl/>
        <w:spacing w:before="156" w:beforeLines="50" w:after="156" w:afterLines="50" w:line="440" w:lineRule="exact"/>
        <w:ind w:firstLine="482" w:firstLineChars="200"/>
        <w:jc w:val="left"/>
        <w:rPr>
          <w:rFonts w:ascii="宋体" w:hAnsi="宋体" w:cs="宋体"/>
          <w:b/>
          <w:bCs/>
          <w:color w:val="000000"/>
          <w:kern w:val="0"/>
          <w:sz w:val="24"/>
        </w:rPr>
      </w:pPr>
      <w:r>
        <w:rPr>
          <w:rFonts w:hint="eastAsia" w:ascii="宋体" w:hAnsi="宋体" w:cs="宋体"/>
          <w:b/>
          <w:bCs/>
          <w:color w:val="000000"/>
          <w:kern w:val="0"/>
          <w:sz w:val="24"/>
        </w:rPr>
        <w:t>三、报名及获取比选文件的期限和方式</w:t>
      </w:r>
    </w:p>
    <w:p>
      <w:pPr>
        <w:widowControl/>
        <w:spacing w:before="124" w:beforeLines="40" w:after="124" w:afterLines="40"/>
        <w:ind w:firstLine="480" w:firstLineChars="200"/>
        <w:rPr>
          <w:rFonts w:ascii="宋体" w:hAnsi="宋体" w:cs="宋体"/>
          <w:color w:val="auto"/>
          <w:kern w:val="0"/>
          <w:sz w:val="24"/>
        </w:rPr>
      </w:pPr>
      <w:r>
        <w:rPr>
          <w:rFonts w:hint="eastAsia" w:ascii="宋体" w:hAnsi="宋体" w:cs="宋体"/>
          <w:color w:val="000000"/>
          <w:kern w:val="0"/>
          <w:sz w:val="24"/>
        </w:rPr>
        <w:t>1、</w:t>
      </w:r>
      <w:bookmarkStart w:id="3" w:name="_Hlk165294075"/>
      <w:r>
        <w:rPr>
          <w:rFonts w:hint="eastAsia" w:ascii="宋体" w:hAnsi="宋体" w:cs="宋体"/>
          <w:color w:val="000000"/>
          <w:kern w:val="0"/>
          <w:sz w:val="24"/>
        </w:rPr>
        <w:t>报名时间：</w:t>
      </w:r>
      <w:r>
        <w:rPr>
          <w:rFonts w:hint="eastAsia" w:ascii="宋体" w:hAnsi="宋体" w:cs="宋体"/>
          <w:color w:val="auto"/>
          <w:kern w:val="0"/>
          <w:sz w:val="24"/>
        </w:rPr>
        <w:t>2024年</w:t>
      </w:r>
      <w:r>
        <w:rPr>
          <w:rFonts w:hint="eastAsia" w:ascii="宋体" w:hAnsi="宋体" w:cs="宋体"/>
          <w:color w:val="auto"/>
          <w:kern w:val="0"/>
          <w:sz w:val="24"/>
          <w:lang w:val="en-US" w:eastAsia="zh-CN"/>
        </w:rPr>
        <w:t>7</w:t>
      </w:r>
      <w:r>
        <w:rPr>
          <w:rFonts w:hint="eastAsia" w:ascii="宋体" w:hAnsi="宋体" w:cs="宋体"/>
          <w:color w:val="auto"/>
          <w:kern w:val="0"/>
          <w:sz w:val="24"/>
        </w:rPr>
        <w:t>月</w:t>
      </w:r>
      <w:r>
        <w:rPr>
          <w:rFonts w:hint="eastAsia" w:ascii="宋体" w:hAnsi="宋体" w:cs="宋体"/>
          <w:color w:val="auto"/>
          <w:kern w:val="0"/>
          <w:sz w:val="24"/>
          <w:lang w:val="en-US" w:eastAsia="zh-CN"/>
        </w:rPr>
        <w:t>2</w:t>
      </w:r>
      <w:r>
        <w:rPr>
          <w:rFonts w:hint="eastAsia" w:ascii="宋体" w:hAnsi="宋体" w:cs="宋体"/>
          <w:color w:val="auto"/>
          <w:kern w:val="0"/>
          <w:sz w:val="24"/>
        </w:rPr>
        <w:t>日至2024年</w:t>
      </w:r>
      <w:r>
        <w:rPr>
          <w:rFonts w:hint="eastAsia" w:ascii="宋体" w:hAnsi="宋体" w:cs="宋体"/>
          <w:color w:val="auto"/>
          <w:kern w:val="0"/>
          <w:sz w:val="24"/>
          <w:lang w:val="en-US" w:eastAsia="zh-CN"/>
        </w:rPr>
        <w:t>7</w:t>
      </w:r>
      <w:r>
        <w:rPr>
          <w:rFonts w:hint="eastAsia" w:ascii="宋体" w:hAnsi="宋体" w:cs="宋体"/>
          <w:color w:val="auto"/>
          <w:kern w:val="0"/>
          <w:sz w:val="24"/>
        </w:rPr>
        <w:t>月</w:t>
      </w:r>
      <w:r>
        <w:rPr>
          <w:rFonts w:hint="eastAsia" w:ascii="宋体" w:hAnsi="宋体" w:cs="宋体"/>
          <w:color w:val="auto"/>
          <w:kern w:val="0"/>
          <w:sz w:val="24"/>
          <w:lang w:val="en-US" w:eastAsia="zh-CN"/>
        </w:rPr>
        <w:t>8</w:t>
      </w:r>
      <w:r>
        <w:rPr>
          <w:rFonts w:hint="eastAsia" w:ascii="宋体" w:hAnsi="宋体" w:cs="宋体"/>
          <w:color w:val="auto"/>
          <w:kern w:val="0"/>
          <w:sz w:val="24"/>
        </w:rPr>
        <w:t>日17：00止（工作日）；</w:t>
      </w:r>
      <w:bookmarkEnd w:id="3"/>
    </w:p>
    <w:p>
      <w:pPr>
        <w:widowControl/>
        <w:spacing w:line="440" w:lineRule="exact"/>
        <w:ind w:left="479" w:leftChars="228"/>
        <w:jc w:val="left"/>
        <w:rPr>
          <w:rFonts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24"/>
          <w:rFonts w:hint="eastAsia" w:ascii="宋体" w:hAnsi="宋体" w:cs="宋体"/>
          <w:color w:val="auto"/>
          <w:kern w:val="0"/>
          <w:sz w:val="24"/>
        </w:rPr>
        <w:t>zcglccg@126.com</w:t>
      </w:r>
      <w:r>
        <w:rPr>
          <w:rStyle w:val="24"/>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pPr>
        <w:widowControl/>
        <w:spacing w:line="440" w:lineRule="exact"/>
        <w:ind w:left="479" w:leftChars="228"/>
        <w:jc w:val="left"/>
        <w:rPr>
          <w:rFonts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、比选文件获取方式：供应商自行下载获取招标文件；</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四、开标信息</w:t>
      </w:r>
    </w:p>
    <w:p>
      <w:pPr>
        <w:widowControl/>
        <w:spacing w:before="124" w:beforeLines="40" w:after="124" w:afterLines="40"/>
        <w:ind w:firstLine="480" w:firstLineChars="200"/>
        <w:rPr>
          <w:rFonts w:ascii="宋体" w:hAnsi="宋体" w:cs="宋体"/>
          <w:kern w:val="0"/>
          <w:sz w:val="24"/>
        </w:rPr>
      </w:pPr>
      <w:bookmarkStart w:id="4" w:name="_Hlk165294099"/>
      <w:r>
        <w:rPr>
          <w:rFonts w:hint="eastAsia" w:ascii="宋体" w:hAnsi="宋体" w:cs="宋体"/>
          <w:color w:val="000000"/>
          <w:kern w:val="0"/>
          <w:sz w:val="24"/>
        </w:rPr>
        <w:t>1、响应文件递交开始时间：2024年</w:t>
      </w:r>
      <w:r>
        <w:rPr>
          <w:rFonts w:hint="eastAsia" w:ascii="宋体" w:hAnsi="宋体" w:cs="宋体"/>
          <w:kern w:val="0"/>
          <w:sz w:val="24"/>
          <w:lang w:val="en-US" w:eastAsia="zh-CN"/>
        </w:rPr>
        <w:t>7</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日北京时间9:</w:t>
      </w:r>
      <w:r>
        <w:rPr>
          <w:rFonts w:hint="eastAsia" w:ascii="宋体" w:hAnsi="宋体" w:cs="宋体"/>
          <w:kern w:val="0"/>
          <w:sz w:val="24"/>
          <w:lang w:val="en-US" w:eastAsia="zh-CN"/>
        </w:rPr>
        <w:t>0</w:t>
      </w:r>
      <w:r>
        <w:rPr>
          <w:rFonts w:hint="eastAsia" w:ascii="宋体" w:hAnsi="宋体" w:cs="宋体"/>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kern w:val="0"/>
          <w:sz w:val="24"/>
        </w:rPr>
        <w:t>2、响应文件递交截止时间（开标时间）：2024年</w:t>
      </w:r>
      <w:r>
        <w:rPr>
          <w:rFonts w:hint="eastAsia" w:ascii="宋体" w:hAnsi="宋体" w:cs="宋体"/>
          <w:kern w:val="0"/>
          <w:sz w:val="24"/>
          <w:lang w:val="en-US" w:eastAsia="zh-CN"/>
        </w:rPr>
        <w:t>7</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w:t>
      </w:r>
      <w:r>
        <w:rPr>
          <w:rFonts w:hint="eastAsia" w:ascii="宋体" w:hAnsi="宋体" w:cs="宋体"/>
          <w:color w:val="000000"/>
          <w:kern w:val="0"/>
          <w:sz w:val="24"/>
        </w:rPr>
        <w:t>北京时间9:</w:t>
      </w:r>
      <w:r>
        <w:rPr>
          <w:rFonts w:hint="eastAsia" w:ascii="宋体" w:hAnsi="宋体" w:cs="宋体"/>
          <w:color w:val="000000"/>
          <w:kern w:val="0"/>
          <w:sz w:val="24"/>
          <w:lang w:val="en-US" w:eastAsia="zh-CN"/>
        </w:rPr>
        <w:t>0</w:t>
      </w:r>
      <w:bookmarkStart w:id="14" w:name="_GoBack"/>
      <w:bookmarkEnd w:id="14"/>
      <w:r>
        <w:rPr>
          <w:rFonts w:hint="eastAsia" w:ascii="宋体" w:hAnsi="宋体" w:cs="宋体"/>
          <w:color w:val="000000"/>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3、开标地点：湖南化工职业技术学院行政楼1</w:t>
      </w:r>
      <w:r>
        <w:rPr>
          <w:rFonts w:hint="eastAsia" w:ascii="宋体" w:hAnsi="宋体" w:cs="宋体"/>
          <w:color w:val="000000"/>
          <w:kern w:val="0"/>
          <w:sz w:val="24"/>
          <w:lang w:val="en-US" w:eastAsia="zh-CN"/>
        </w:rPr>
        <w:t>09</w:t>
      </w:r>
      <w:r>
        <w:rPr>
          <w:rFonts w:hint="eastAsia" w:ascii="宋体" w:hAnsi="宋体" w:cs="宋体"/>
          <w:color w:val="000000"/>
          <w:kern w:val="0"/>
          <w:sz w:val="24"/>
        </w:rPr>
        <w:t>室。</w:t>
      </w:r>
    </w:p>
    <w:bookmarkEnd w:id="4"/>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五、发布公告的媒介</w:t>
      </w:r>
    </w:p>
    <w:p>
      <w:pPr>
        <w:widowControl/>
        <w:spacing w:line="440" w:lineRule="exact"/>
        <w:ind w:firstLine="480" w:firstLineChars="200"/>
        <w:rPr>
          <w:rFonts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六、联系方式</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采购人：湖南化工职业技术学院</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联系人：赵老师</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电 话：0731-22537501</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 xml:space="preserve">地  址：湖南省株洲市云龙区职教城                           </w:t>
      </w:r>
    </w:p>
    <w:p>
      <w:pPr>
        <w:pStyle w:val="4"/>
        <w:ind w:firstLine="480"/>
        <w:rPr>
          <w:color w:val="000000"/>
        </w:rPr>
      </w:pPr>
    </w:p>
    <w:p>
      <w:pPr>
        <w:pStyle w:val="5"/>
        <w:rPr>
          <w:color w:val="000000"/>
        </w:rPr>
      </w:pPr>
    </w:p>
    <w:p>
      <w:pPr>
        <w:pStyle w:val="5"/>
        <w:rPr>
          <w:color w:val="000000"/>
        </w:rPr>
      </w:pPr>
    </w:p>
    <w:p>
      <w:pPr>
        <w:widowControl/>
        <w:spacing w:line="440" w:lineRule="exact"/>
        <w:jc w:val="center"/>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spacing w:line="440" w:lineRule="exact"/>
        <w:ind w:firstLine="5280" w:firstLineChars="2200"/>
        <w:jc w:val="left"/>
        <w:rPr>
          <w:rFonts w:ascii="宋体" w:hAnsi="宋体" w:cs="宋体"/>
          <w:kern w:val="0"/>
          <w:sz w:val="24"/>
        </w:rPr>
      </w:pPr>
      <w:r>
        <w:rPr>
          <w:rFonts w:ascii="宋体" w:hAnsi="宋体" w:cs="宋体"/>
          <w:kern w:val="0"/>
          <w:sz w:val="24"/>
        </w:rPr>
        <w:br w:type="page"/>
      </w:r>
    </w:p>
    <w:p>
      <w:pPr>
        <w:widowControl/>
        <w:spacing w:before="124" w:beforeLines="40" w:after="124" w:afterLines="40" w:line="375" w:lineRule="atLeast"/>
        <w:jc w:val="center"/>
        <w:rPr>
          <w:rFonts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pPr>
        <w:widowControl/>
        <w:spacing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一、说明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1、适用范围：本招标书仅适用于本次招标。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3、招标人：系指湖南化工职业技术学院。</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4、投标人：系指向招标人提交投标文件的合格投标人。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5、服务：系指招标文件规定卖方须承担的相关工作。</w:t>
      </w:r>
    </w:p>
    <w:p>
      <w:pPr>
        <w:widowControl/>
        <w:spacing w:before="156" w:beforeLines="50"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二、比选文件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1、投标比选文件的编制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2、比选文件的组成</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（2）投标书</w:t>
      </w:r>
    </w:p>
    <w:p>
      <w:pPr>
        <w:pStyle w:val="7"/>
        <w:spacing w:after="0" w:line="360" w:lineRule="auto"/>
        <w:ind w:firstLine="480" w:firstLineChars="200"/>
        <w:jc w:val="left"/>
      </w:pPr>
      <w:r>
        <w:rPr>
          <w:rFonts w:hint="eastAsia" w:ascii="宋体" w:hAnsi="宋体" w:cs="宋体"/>
          <w:color w:val="000000"/>
          <w:kern w:val="0"/>
          <w:sz w:val="24"/>
        </w:rPr>
        <w:t>（3）开标一览表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（4）服务方案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（5）服务承诺书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（6）供应商资质证明材料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（7）技术参数响应及实施方案</w:t>
      </w:r>
    </w:p>
    <w:p>
      <w:pPr>
        <w:pStyle w:val="17"/>
        <w:tabs>
          <w:tab w:val="left" w:pos="3420"/>
        </w:tabs>
        <w:spacing w:after="0" w:line="360" w:lineRule="auto"/>
        <w:ind w:left="0" w:leftChars="0" w:firstLine="480"/>
        <w:jc w:val="left"/>
        <w:rPr>
          <w:rFonts w:ascii="宋体" w:hAnsi="宋体" w:cs="宋体"/>
          <w:kern w:val="0"/>
          <w:sz w:val="24"/>
        </w:rPr>
      </w:pPr>
      <w:r>
        <w:rPr>
          <w:rFonts w:hint="eastAsia" w:ascii="宋体" w:hAnsi="宋体" w:cs="宋体"/>
          <w:kern w:val="0"/>
          <w:sz w:val="24"/>
        </w:rPr>
        <w:t>（8）类似业绩</w:t>
      </w:r>
    </w:p>
    <w:p>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pPr>
        <w:widowControl/>
        <w:spacing w:before="156" w:beforeLines="50" w:after="156" w:afterLines="50"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三、投标</w:t>
      </w:r>
    </w:p>
    <w:p>
      <w:pPr>
        <w:widowControl/>
        <w:spacing w:before="156" w:beforeLines="50" w:after="156" w:afterLines="50"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全部投标文件按《投标须知》中“投标文件的组成”的顺序成册，投标文件必须封装并加盖公章，并在封面上写明投标人名称。招标人不接受电报、电话、传真和电子邮件投标，投标书递交后不得修改，也不得撤标。</w:t>
      </w:r>
      <w:r>
        <w:rPr>
          <w:rFonts w:hint="eastAsia" w:ascii="宋体" w:hAnsi="宋体" w:cs="宋体"/>
          <w:b/>
          <w:bCs/>
          <w:color w:val="000000"/>
          <w:kern w:val="0"/>
          <w:sz w:val="24"/>
        </w:rPr>
        <w:t>要求投标方报名截止前将参与投标项目信息（参与项目、投标单位名称、项目负责人、联系电话）发到指定邮箱（</w:t>
      </w:r>
      <w:r>
        <w:rPr>
          <w:rFonts w:hint="eastAsia" w:ascii="宋体" w:hAnsi="宋体" w:cs="宋体"/>
          <w:color w:val="000000"/>
          <w:kern w:val="0"/>
          <w:sz w:val="24"/>
        </w:rPr>
        <w:t>zcglccg@126.com</w:t>
      </w:r>
      <w:r>
        <w:rPr>
          <w:rFonts w:hint="eastAsia" w:ascii="宋体" w:hAnsi="宋体" w:cs="宋体"/>
          <w:b/>
          <w:bCs/>
          <w:color w:val="000000"/>
          <w:kern w:val="0"/>
          <w:sz w:val="24"/>
        </w:rPr>
        <w:t>），不接受现场报名。</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四、开标和评标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招标人有权在签订合同时调整采购数量。</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五、中标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1、中标结果公布</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（1）若评标顺利，将当场公布评标结果。</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（2）若不能立即评出结果，将在1天内通知中标单位。</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2、中标人出现下列行为之一者，其中标资格将被取消：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（1）中标人与其他投标人串通进行投标的；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（2）中标人不能按中标要求签订合同的；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（4）中标人在规定时间内不与招标人签订合同的；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（5）中标人转让中标项目的；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六、签订合同</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双方共同签订《</w:t>
      </w:r>
      <w:bookmarkStart w:id="5" w:name="_Hlk160810094"/>
      <w:r>
        <w:rPr>
          <w:rFonts w:hint="eastAsia" w:ascii="宋体" w:hAnsi="宋体" w:cs="宋体"/>
          <w:color w:val="000000"/>
          <w:kern w:val="0"/>
          <w:sz w:val="24"/>
        </w:rPr>
        <w:t>湖南化工职业技术学院</w:t>
      </w:r>
      <w:bookmarkEnd w:id="5"/>
      <w:r>
        <w:rPr>
          <w:rFonts w:hint="eastAsia" w:ascii="宋体" w:hAnsi="宋体" w:cs="宋体"/>
          <w:color w:val="000000"/>
          <w:kern w:val="0"/>
          <w:sz w:val="24"/>
        </w:rPr>
        <w:t>文印室耗材及维修服务采购项目合同书》。</w:t>
      </w:r>
    </w:p>
    <w:p>
      <w:pPr>
        <w:spacing w:line="360" w:lineRule="auto"/>
        <w:ind w:firstLine="482" w:firstLineChars="200"/>
        <w:rPr>
          <w:rFonts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（一）基本资格条件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2、具有良好的商业信誉和健全的财务会计制度；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3、具有履行合同所必需的设备和专业技术服务能力；</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6、已入驻湖南省财政厅政府采购电子卖场证明。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8、本项目不接受联合体参与投标。</w:t>
      </w:r>
    </w:p>
    <w:p>
      <w:pPr>
        <w:widowControl/>
        <w:numPr>
          <w:ilvl w:val="0"/>
          <w:numId w:val="3"/>
        </w:numPr>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项目需求</w:t>
      </w:r>
    </w:p>
    <w:p>
      <w:pPr>
        <w:pStyle w:val="81"/>
        <w:numPr>
          <w:ilvl w:val="0"/>
          <w:numId w:val="4"/>
        </w:numPr>
        <w:spacing w:before="60" w:after="80" w:line="360" w:lineRule="auto"/>
        <w:ind w:left="420" w:firstLine="0" w:firstLineChars="0"/>
        <w:rPr>
          <w:rFonts w:ascii="宋体" w:hAnsi="宋体" w:cs="宋体"/>
          <w:bCs/>
          <w:color w:val="000000"/>
          <w:sz w:val="24"/>
        </w:rPr>
      </w:pPr>
      <w:r>
        <w:rPr>
          <w:rFonts w:hint="eastAsia" w:ascii="宋体" w:hAnsi="宋体" w:cs="宋体"/>
          <w:bCs/>
          <w:color w:val="000000"/>
          <w:sz w:val="24"/>
        </w:rPr>
        <w:t>项目慨况：</w:t>
      </w:r>
    </w:p>
    <w:p>
      <w:pPr>
        <w:pStyle w:val="17"/>
        <w:widowControl/>
        <w:ind w:leftChars="0" w:firstLine="0" w:firstLineChars="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s="宋体"/>
          <w:color w:val="000000" w:themeColor="text1"/>
          <w:sz w:val="24"/>
          <w14:textFill>
            <w14:solidFill>
              <w14:schemeClr w14:val="tx1"/>
            </w14:solidFill>
          </w14:textFill>
        </w:rPr>
        <w:t>、项目名称：文印室耗材及维修服务</w:t>
      </w:r>
    </w:p>
    <w:p>
      <w:pPr>
        <w:pStyle w:val="17"/>
        <w:widowControl/>
        <w:ind w:leftChars="0" w:firstLine="0" w:firstLineChars="0"/>
        <w:rPr>
          <w:rFonts w:cs="宋体"/>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s="宋体"/>
          <w:color w:val="000000" w:themeColor="text1"/>
          <w:sz w:val="24"/>
          <w14:textFill>
            <w14:solidFill>
              <w14:schemeClr w14:val="tx1"/>
            </w14:solidFill>
          </w14:textFill>
        </w:rPr>
        <w:t>、选定单位：选定一家供应商</w:t>
      </w:r>
    </w:p>
    <w:p>
      <w:pPr>
        <w:pStyle w:val="17"/>
        <w:widowControl/>
        <w:ind w:leftChars="0" w:firstLine="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3、服务期限：一年</w:t>
      </w:r>
    </w:p>
    <w:p>
      <w:pPr>
        <w:tabs>
          <w:tab w:val="left" w:pos="1480"/>
        </w:tabs>
        <w:ind w:firstLine="240" w:firstLineChars="100"/>
        <w:rPr>
          <w:rFonts w:hint="eastAsia"/>
          <w:b/>
          <w:bCs/>
        </w:rPr>
      </w:pPr>
      <w:r>
        <w:rPr>
          <w:rFonts w:hint="eastAsia" w:ascii="宋体" w:hAnsi="宋体" w:cs="宋体"/>
          <w:bCs/>
          <w:color w:val="000000"/>
          <w:sz w:val="24"/>
        </w:rPr>
        <w:t>（</w:t>
      </w:r>
      <w:r>
        <w:rPr>
          <w:rFonts w:hint="eastAsia" w:ascii="宋体" w:hAnsi="宋体" w:eastAsia="宋体" w:cs="宋体"/>
          <w:bCs/>
          <w:color w:val="000000"/>
          <w:kern w:val="2"/>
          <w:sz w:val="24"/>
          <w:szCs w:val="24"/>
          <w:lang w:val="en-US" w:eastAsia="zh-CN" w:bidi="ar-SA"/>
        </w:rPr>
        <w:t>二）</w:t>
      </w:r>
      <w:bookmarkStart w:id="6" w:name="_Hlk169257340"/>
      <w:bookmarkStart w:id="7" w:name="_Hlk169257368"/>
      <w:r>
        <w:rPr>
          <w:rFonts w:hint="eastAsia" w:ascii="宋体" w:hAnsi="宋体" w:eastAsia="宋体" w:cs="宋体"/>
          <w:bCs/>
          <w:color w:val="000000"/>
          <w:kern w:val="2"/>
          <w:sz w:val="24"/>
          <w:szCs w:val="24"/>
          <w:lang w:val="en-US" w:eastAsia="zh-CN" w:bidi="ar-SA"/>
        </w:rPr>
        <w:t>耗材基本参数</w:t>
      </w:r>
      <w:r>
        <w:rPr>
          <w:rFonts w:hint="eastAsia"/>
          <w:b/>
          <w:bCs/>
        </w:rPr>
        <w:t>（表中数量不代表实际采购数量，实际采购以中标单位的单价供货）</w:t>
      </w:r>
    </w:p>
    <w:tbl>
      <w:tblPr>
        <w:tblStyle w:val="18"/>
        <w:tblW w:w="9998" w:type="dxa"/>
        <w:jc w:val="center"/>
        <w:tblLayout w:type="fixed"/>
        <w:tblCellMar>
          <w:top w:w="0" w:type="dxa"/>
          <w:left w:w="108" w:type="dxa"/>
          <w:bottom w:w="0" w:type="dxa"/>
          <w:right w:w="108" w:type="dxa"/>
        </w:tblCellMar>
      </w:tblPr>
      <w:tblGrid>
        <w:gridCol w:w="495"/>
        <w:gridCol w:w="1119"/>
        <w:gridCol w:w="2220"/>
        <w:gridCol w:w="645"/>
        <w:gridCol w:w="900"/>
        <w:gridCol w:w="1185"/>
        <w:gridCol w:w="959"/>
        <w:gridCol w:w="1065"/>
        <w:gridCol w:w="1410"/>
      </w:tblGrid>
      <w:tr>
        <w:tblPrEx>
          <w:tblCellMar>
            <w:top w:w="0" w:type="dxa"/>
            <w:left w:w="108" w:type="dxa"/>
            <w:bottom w:w="0" w:type="dxa"/>
            <w:right w:w="108" w:type="dxa"/>
          </w:tblCellMar>
        </w:tblPrEx>
        <w:trPr>
          <w:trHeight w:val="64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b/>
                <w:bCs/>
                <w:color w:val="000000"/>
                <w:sz w:val="21"/>
                <w:szCs w:val="21"/>
              </w:rPr>
            </w:pPr>
            <w:r>
              <w:rPr>
                <w:rFonts w:hint="eastAsia" w:ascii="宋体" w:hAnsi="宋体" w:eastAsia="宋体" w:cs="仿宋_GB2312"/>
                <w:b/>
                <w:bCs/>
                <w:color w:val="000000"/>
                <w:kern w:val="0"/>
                <w:sz w:val="21"/>
                <w:szCs w:val="21"/>
              </w:rPr>
              <w:t>序号</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hint="eastAsia" w:ascii="宋体" w:hAnsi="宋体" w:eastAsia="宋体" w:cs="仿宋_GB2312"/>
                <w:b/>
                <w:bCs/>
                <w:color w:val="000000"/>
                <w:kern w:val="0"/>
                <w:sz w:val="21"/>
                <w:szCs w:val="21"/>
              </w:rPr>
            </w:pPr>
            <w:r>
              <w:rPr>
                <w:rFonts w:hint="eastAsia" w:ascii="宋体" w:hAnsi="宋体" w:eastAsia="宋体" w:cs="仿宋_GB2312"/>
                <w:b/>
                <w:bCs/>
                <w:color w:val="000000"/>
                <w:kern w:val="0"/>
                <w:sz w:val="21"/>
                <w:szCs w:val="21"/>
              </w:rPr>
              <w:t>货物</w:t>
            </w:r>
          </w:p>
          <w:p>
            <w:pPr>
              <w:widowControl/>
              <w:snapToGrid w:val="0"/>
              <w:jc w:val="center"/>
              <w:textAlignment w:val="center"/>
              <w:rPr>
                <w:rFonts w:ascii="宋体" w:hAnsi="宋体" w:eastAsia="宋体" w:cs="仿宋_GB2312"/>
                <w:b/>
                <w:bCs/>
                <w:color w:val="000000"/>
                <w:sz w:val="21"/>
                <w:szCs w:val="21"/>
              </w:rPr>
            </w:pPr>
            <w:r>
              <w:rPr>
                <w:rFonts w:hint="eastAsia" w:ascii="宋体" w:hAnsi="宋体" w:eastAsia="宋体" w:cs="仿宋_GB2312"/>
                <w:b/>
                <w:bCs/>
                <w:color w:val="000000"/>
                <w:kern w:val="0"/>
                <w:sz w:val="21"/>
                <w:szCs w:val="21"/>
              </w:rPr>
              <w:t>名称</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b/>
                <w:bCs/>
                <w:color w:val="000000"/>
                <w:sz w:val="21"/>
                <w:szCs w:val="21"/>
              </w:rPr>
            </w:pPr>
            <w:r>
              <w:rPr>
                <w:rFonts w:hint="eastAsia" w:ascii="宋体" w:hAnsi="宋体" w:eastAsia="宋体" w:cs="仿宋_GB2312"/>
                <w:b/>
                <w:bCs/>
                <w:color w:val="000000"/>
                <w:kern w:val="0"/>
                <w:sz w:val="21"/>
                <w:szCs w:val="21"/>
              </w:rPr>
              <w:t>技术规格</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b/>
                <w:bCs/>
                <w:color w:val="000000"/>
                <w:sz w:val="21"/>
                <w:szCs w:val="21"/>
              </w:rPr>
            </w:pPr>
            <w:r>
              <w:rPr>
                <w:rFonts w:hint="eastAsia" w:ascii="宋体" w:hAnsi="宋体" w:eastAsia="宋体" w:cs="仿宋_GB2312"/>
                <w:b/>
                <w:bCs/>
                <w:color w:val="000000"/>
                <w:kern w:val="0"/>
                <w:sz w:val="21"/>
                <w:szCs w:val="21"/>
              </w:rPr>
              <w:t>数量</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b/>
                <w:bCs/>
                <w:color w:val="000000"/>
                <w:sz w:val="21"/>
                <w:szCs w:val="21"/>
              </w:rPr>
            </w:pPr>
            <w:r>
              <w:rPr>
                <w:rFonts w:hint="eastAsia" w:ascii="宋体" w:hAnsi="宋体" w:eastAsia="宋体" w:cs="仿宋_GB2312"/>
                <w:b/>
                <w:bCs/>
                <w:color w:val="000000"/>
                <w:kern w:val="0"/>
                <w:sz w:val="21"/>
                <w:szCs w:val="21"/>
              </w:rPr>
              <w:t>单位</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b/>
                <w:bCs/>
                <w:color w:val="000000"/>
                <w:kern w:val="0"/>
                <w:sz w:val="21"/>
                <w:szCs w:val="21"/>
              </w:rPr>
            </w:pPr>
            <w:r>
              <w:rPr>
                <w:rFonts w:hint="eastAsia" w:ascii="宋体" w:hAnsi="宋体" w:eastAsia="宋体" w:cs="仿宋_GB2312"/>
                <w:b/>
                <w:bCs/>
                <w:color w:val="000000"/>
                <w:kern w:val="0"/>
                <w:sz w:val="21"/>
                <w:szCs w:val="21"/>
              </w:rPr>
              <w:t>供货品牌</w:t>
            </w: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b/>
                <w:bCs/>
                <w:color w:val="000000"/>
                <w:kern w:val="0"/>
                <w:sz w:val="21"/>
                <w:szCs w:val="21"/>
              </w:rPr>
            </w:pPr>
            <w:r>
              <w:rPr>
                <w:rFonts w:hint="eastAsia" w:ascii="宋体" w:hAnsi="宋体" w:eastAsia="宋体" w:cs="仿宋_GB2312"/>
                <w:b/>
                <w:bCs/>
                <w:color w:val="000000"/>
                <w:kern w:val="0"/>
                <w:sz w:val="21"/>
                <w:szCs w:val="21"/>
              </w:rPr>
              <w:t>单价</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b/>
                <w:bCs/>
                <w:color w:val="000000"/>
                <w:kern w:val="0"/>
                <w:sz w:val="21"/>
                <w:szCs w:val="21"/>
              </w:rPr>
            </w:pPr>
            <w:r>
              <w:rPr>
                <w:rFonts w:hint="eastAsia" w:ascii="宋体" w:hAnsi="宋体" w:eastAsia="宋体" w:cs="仿宋_GB2312"/>
                <w:b/>
                <w:bCs/>
                <w:color w:val="000000"/>
                <w:kern w:val="0"/>
                <w:sz w:val="21"/>
                <w:szCs w:val="21"/>
              </w:rPr>
              <w:t>总价</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b/>
                <w:bCs/>
                <w:color w:val="000000"/>
                <w:sz w:val="21"/>
                <w:szCs w:val="21"/>
              </w:rPr>
            </w:pPr>
            <w:r>
              <w:rPr>
                <w:rFonts w:hint="eastAsia" w:ascii="宋体" w:hAnsi="宋体" w:eastAsia="宋体" w:cs="仿宋_GB2312"/>
                <w:b/>
                <w:bCs/>
                <w:color w:val="000000"/>
                <w:kern w:val="0"/>
                <w:sz w:val="21"/>
                <w:szCs w:val="21"/>
              </w:rPr>
              <w:t>备注</w:t>
            </w:r>
          </w:p>
        </w:tc>
      </w:tr>
      <w:tr>
        <w:tblPrEx>
          <w:tblCellMar>
            <w:top w:w="0" w:type="dxa"/>
            <w:left w:w="108" w:type="dxa"/>
            <w:bottom w:w="0" w:type="dxa"/>
            <w:right w:w="108" w:type="dxa"/>
          </w:tblCellMar>
        </w:tblPrEx>
        <w:trPr>
          <w:trHeight w:val="126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1</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复印纸</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A4复印纸(80g)</w:t>
            </w:r>
          </w:p>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500张/包，白色（宽210mm*高297mm）全木浆，厚度≧112，亮度≧103，不透明度≧95.9，纵向挺度≧120,横向挺度≧52.3，正面平滑度≧27S，反面平滑度≧25S.无颗粒粉尘，过机不卡纸（纸质存档克保存60年）</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80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箱</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（8包）</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提供样品，提供检测报告</w:t>
            </w:r>
          </w:p>
        </w:tc>
      </w:tr>
      <w:tr>
        <w:tblPrEx>
          <w:tblCellMar>
            <w:top w:w="0" w:type="dxa"/>
            <w:left w:w="108" w:type="dxa"/>
            <w:bottom w:w="0" w:type="dxa"/>
            <w:right w:w="108" w:type="dxa"/>
          </w:tblCellMar>
        </w:tblPrEx>
        <w:trPr>
          <w:trHeight w:val="126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复印纸</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A3复印纸(80g)</w:t>
            </w:r>
          </w:p>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500张/包，白色（宽297mm*高420mm）全木浆，厚度≧112，亮度≧103，不透明度≧95.9，纵向挺度≧120,横向挺度≧52.3，正面平滑度≧27S，反面平滑度≧25S.无颗粒粉尘，过机不卡纸（纸质存档克保存60年）</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40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箱</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 xml:space="preserve">（4包） </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提供样品，提供检测报告</w:t>
            </w:r>
          </w:p>
        </w:tc>
      </w:tr>
      <w:tr>
        <w:tblPrEx>
          <w:tblCellMar>
            <w:top w:w="0" w:type="dxa"/>
            <w:left w:w="108" w:type="dxa"/>
            <w:bottom w:w="0" w:type="dxa"/>
            <w:right w:w="108" w:type="dxa"/>
          </w:tblCellMar>
        </w:tblPrEx>
        <w:trPr>
          <w:trHeight w:val="126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3</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复印纸</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8K复印纸(80g)</w:t>
            </w:r>
          </w:p>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500张/包，白色（宽270mm*高390mm）全木浆，厚度≧112，亮度≧103，不透明度≧95.9，纵向挺度≧120,横向挺度≧52.3，正面平滑度≧27S，反面平滑度≧25S.无颗粒粉尘，过机不卡纸（纸质存档克保存60年）</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箱</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（4包）</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提供样品，提供检测报告</w:t>
            </w:r>
          </w:p>
        </w:tc>
      </w:tr>
      <w:tr>
        <w:tblPrEx>
          <w:tblCellMar>
            <w:top w:w="0" w:type="dxa"/>
            <w:left w:w="108" w:type="dxa"/>
            <w:bottom w:w="0" w:type="dxa"/>
            <w:right w:w="108" w:type="dxa"/>
          </w:tblCellMar>
        </w:tblPrEx>
        <w:trPr>
          <w:trHeight w:val="126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4</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复印纸</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A4白色卡纸(200g)</w:t>
            </w:r>
          </w:p>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100张/包，白色（宽210mm*高297mm）全木浆，厚度≧250.无颗粒粉尘，过机不卡纸（纸质存档克保存60年）</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包</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（100张）</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提供样品，提供检测报告</w:t>
            </w:r>
          </w:p>
        </w:tc>
      </w:tr>
      <w:tr>
        <w:tblPrEx>
          <w:tblCellMar>
            <w:top w:w="0" w:type="dxa"/>
            <w:left w:w="108" w:type="dxa"/>
            <w:bottom w:w="0" w:type="dxa"/>
            <w:right w:w="108" w:type="dxa"/>
          </w:tblCellMar>
        </w:tblPrEx>
        <w:trPr>
          <w:trHeight w:val="126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理光4440</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版纸</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速印机版纸</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箱</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（10卷）</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提供样品</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原厂原装</w:t>
            </w:r>
          </w:p>
        </w:tc>
      </w:tr>
      <w:tr>
        <w:tblPrEx>
          <w:tblCellMar>
            <w:top w:w="0" w:type="dxa"/>
            <w:left w:w="108" w:type="dxa"/>
            <w:bottom w:w="0" w:type="dxa"/>
            <w:right w:w="108" w:type="dxa"/>
          </w:tblCellMar>
        </w:tblPrEx>
        <w:trPr>
          <w:trHeight w:val="126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6</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理光4440油墨</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速印机油墨</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箱</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（20支）</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提供样品</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ascii="宋体" w:hAnsi="宋体" w:eastAsia="宋体" w:cs="仿宋_GB2312"/>
                <w:color w:val="000000" w:themeColor="text1"/>
                <w:sz w:val="21"/>
                <w:szCs w:val="21"/>
                <w14:textFill>
                  <w14:solidFill>
                    <w14:schemeClr w14:val="tx1"/>
                  </w14:solidFill>
                </w14:textFill>
              </w:rPr>
              <w:t>原厂原装</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7</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（京瓷4053）复印机碳粉</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黑色</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18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8</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（京瓷4053）复印机碳粉</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红色</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9</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（京瓷4053）复印机碳粉</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蓝色</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（京瓷4053）复印机碳粉</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黄色</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11</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（京瓷3354）复印机碳粉</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黑色</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12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（京瓷3354）复印机碳粉</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红色</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13</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（京瓷3354）复印机碳粉</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蓝色</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14</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（京瓷3354）复印机碳粉</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黄色</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15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维修人工费</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印刷机、彩色复印机、胶装机的维修服务</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次</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hint="default" w:ascii="宋体" w:hAnsi="宋体" w:eastAsia="宋体" w:cs="仿宋_GB2312"/>
                <w:color w:val="000000" w:themeColor="text1"/>
                <w:kern w:val="0"/>
                <w:sz w:val="24"/>
                <w:lang w:val="en-US" w:eastAsia="zh-CN"/>
                <w14:textFill>
                  <w14:solidFill>
                    <w14:schemeClr w14:val="tx1"/>
                  </w14:solidFill>
                </w14:textFill>
              </w:rPr>
            </w:pPr>
            <w:r>
              <w:rPr>
                <w:rFonts w:hint="eastAsia" w:ascii="宋体" w:hAnsi="宋体" w:cs="仿宋_GB2312"/>
                <w:color w:val="000000" w:themeColor="text1"/>
                <w:kern w:val="0"/>
                <w:sz w:val="24"/>
                <w:lang w:val="en-US" w:eastAsia="zh-CN"/>
                <w14:textFill>
                  <w14:solidFill>
                    <w14:schemeClr w14:val="tx1"/>
                  </w14:solidFill>
                </w14:textFill>
              </w:rPr>
              <w:t>16</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hint="eastAsia" w:ascii="宋体" w:hAnsi="宋体" w:eastAsia="宋体" w:cs="仿宋_GB2312"/>
                <w:color w:val="000000" w:themeColor="text1"/>
                <w:kern w:val="0"/>
                <w:sz w:val="2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报价汇总/元</w:t>
            </w:r>
          </w:p>
        </w:tc>
        <w:tc>
          <w:tcPr>
            <w:tcW w:w="838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p>
        </w:tc>
      </w:tr>
    </w:tbl>
    <w:p>
      <w:pPr>
        <w:tabs>
          <w:tab w:val="left" w:pos="1480"/>
        </w:tabs>
        <w:ind w:firstLine="211" w:firstLineChars="100"/>
        <w:rPr>
          <w:rFonts w:hint="eastAsia"/>
          <w:b/>
          <w:bCs/>
        </w:rPr>
      </w:pPr>
    </w:p>
    <w:p>
      <w:pPr>
        <w:snapToGrid w:val="0"/>
        <w:spacing w:line="24" w:lineRule="auto"/>
        <w:rPr>
          <w:rFonts w:ascii="宋体" w:hAnsi="宋体" w:eastAsia="宋体"/>
        </w:rPr>
      </w:pPr>
    </w:p>
    <w:p>
      <w:pPr>
        <w:tabs>
          <w:tab w:val="left" w:pos="1075"/>
        </w:tabs>
        <w:rPr>
          <w:rFonts w:ascii="宋体" w:hAnsi="宋体" w:eastAsia="宋体"/>
          <w:b/>
          <w:bCs/>
        </w:rPr>
      </w:pPr>
      <w:r>
        <w:rPr>
          <w:rFonts w:hint="eastAsia" w:ascii="宋体" w:hAnsi="宋体" w:eastAsia="宋体"/>
          <w:sz w:val="24"/>
        </w:rPr>
        <w:t>注：（1）复印机及速印机提供了设备型号，供货要和设备相匹配（推荐原厂）。（2）供货单位需要对表中所有货物在政采云单独上架，且价格不得高于</w:t>
      </w:r>
      <w:r>
        <w:rPr>
          <w:rFonts w:hint="eastAsia" w:ascii="宋体" w:hAnsi="宋体"/>
          <w:color w:val="FF0000"/>
          <w:sz w:val="24"/>
        </w:rPr>
        <w:t>送货时政采云近一个月平均</w:t>
      </w:r>
      <w:r>
        <w:rPr>
          <w:rFonts w:hint="eastAsia" w:ascii="宋体" w:hAnsi="宋体"/>
          <w:sz w:val="24"/>
        </w:rPr>
        <w:t>成交价和中标价（按照低价成交，投标时要提供承诺函）。</w:t>
      </w:r>
    </w:p>
    <w:p>
      <w:pPr>
        <w:numPr>
          <w:ilvl w:val="0"/>
          <w:numId w:val="5"/>
        </w:numPr>
        <w:tabs>
          <w:tab w:val="left" w:pos="1480"/>
        </w:tabs>
        <w:ind w:firstLine="480" w:firstLineChars="200"/>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服务项目及要求：</w:t>
      </w:r>
    </w:p>
    <w:p>
      <w:pPr>
        <w:spacing w:line="360" w:lineRule="auto"/>
        <w:ind w:firstLine="600" w:firstLineChars="250"/>
        <w:rPr>
          <w:rFonts w:hint="eastAsia" w:ascii="宋体" w:hAnsi="宋体" w:eastAsia="宋体" w:cs="宋体"/>
          <w:sz w:val="24"/>
        </w:rPr>
      </w:pPr>
      <w:r>
        <w:rPr>
          <w:rFonts w:hint="eastAsia" w:ascii="宋体" w:hAnsi="宋体" w:eastAsia="宋体" w:cs="宋体"/>
          <w:sz w:val="24"/>
        </w:rPr>
        <w:t>1、开标时需按要求提供样品，以及相关的资质证书资料复印件。</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样品单独封装</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每个样品贴上单位标签</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由采购人签收。所有样品必须在投标截止时间前提交，否则，采购人或采购代理机构依法拒收。</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中标人的样品将由采购人按规定进行保管、封存，作为履约验收的参考依据之一。若中标人所供货物不对</w:t>
      </w:r>
      <w:r>
        <w:rPr>
          <w:rFonts w:hint="eastAsia" w:ascii="宋体" w:hAnsi="宋体" w:cs="宋体"/>
          <w:color w:val="000000" w:themeColor="text1"/>
          <w:sz w:val="24"/>
          <w:lang w:val="en-US" w:eastAsia="zh-CN"/>
          <w14:textFill>
            <w14:solidFill>
              <w14:schemeClr w14:val="tx1"/>
            </w14:solidFill>
          </w14:textFill>
        </w:rPr>
        <w:t>版</w:t>
      </w:r>
      <w:r>
        <w:rPr>
          <w:rFonts w:hint="eastAsia" w:ascii="宋体" w:hAnsi="宋体" w:cs="宋体"/>
          <w:color w:val="000000" w:themeColor="text1"/>
          <w:sz w:val="24"/>
          <w14:textFill>
            <w14:solidFill>
              <w14:schemeClr w14:val="tx1"/>
            </w14:solidFill>
          </w14:textFill>
        </w:rPr>
        <w:t>，采购人有权拒收或退货，并拒绝付款。采购人有权视情节轻重，处以警告、终止合同并追究相应法律责任等处理。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与提供样品有关的一切费用由投标人自理。</w:t>
      </w:r>
    </w:p>
    <w:p>
      <w:pPr>
        <w:topLinePunct/>
        <w:spacing w:line="360" w:lineRule="auto"/>
        <w:ind w:firstLine="480" w:firstLineChars="200"/>
        <w:jc w:val="left"/>
        <w:rPr>
          <w:rFonts w:hint="eastAsia" w:ascii="宋体" w:hAnsi="宋体" w:eastAsia="宋体" w:cs="宋体"/>
          <w:sz w:val="24"/>
        </w:rPr>
      </w:pP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采购人对投标人所递交样品的破损或质量不负任何责任，未中标的投标人样品招标人于开标活动结束后及时退还，3日内未领走的，采购人有权自行处置。</w:t>
      </w:r>
    </w:p>
    <w:p>
      <w:pPr>
        <w:topLinePunct/>
        <w:spacing w:line="360" w:lineRule="auto"/>
        <w:ind w:firstLine="480" w:firstLineChars="200"/>
        <w:jc w:val="left"/>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2、所有货物保修期按国家相关规定，如有特殊情况请于标书中注明。保修期起始日期按验收合格日期计算，保修期内应免费上门维修。</w:t>
      </w:r>
    </w:p>
    <w:p>
      <w:pPr>
        <w:spacing w:line="360" w:lineRule="auto"/>
        <w:ind w:firstLine="600" w:firstLineChars="250"/>
        <w:rPr>
          <w:rFonts w:ascii="宋体" w:hAnsi="宋体" w:eastAsia="宋体" w:cs="宋体"/>
          <w:sz w:val="24"/>
        </w:rPr>
      </w:pPr>
      <w:r>
        <w:rPr>
          <w:rFonts w:hint="eastAsia" w:ascii="宋体" w:hAnsi="宋体" w:eastAsia="宋体" w:cs="宋体"/>
          <w:sz w:val="24"/>
        </w:rPr>
        <w:t>3、供货商应提供维修电话及联系人，用户报修后，须在1个小时内派员上门现场维护，并在2小时内解决问题。在规定时间内不能解决问题的设备，应提供相同档次的设备给用户代用。</w:t>
      </w:r>
    </w:p>
    <w:p>
      <w:pPr>
        <w:spacing w:line="360" w:lineRule="auto"/>
        <w:ind w:firstLine="600" w:firstLineChars="250"/>
        <w:rPr>
          <w:rFonts w:ascii="宋体" w:hAnsi="宋体" w:eastAsia="宋体" w:cs="宋体"/>
          <w:sz w:val="24"/>
        </w:rPr>
      </w:pPr>
      <w:r>
        <w:rPr>
          <w:rFonts w:hint="eastAsia" w:ascii="宋体" w:hAnsi="宋体" w:eastAsia="宋体" w:cs="宋体"/>
          <w:sz w:val="24"/>
        </w:rPr>
        <w:t>4、保修期内，同一批产品30天内连续多次出现同一故障，供货商须无条件免费更换相应档次的货物。</w:t>
      </w:r>
    </w:p>
    <w:p>
      <w:pPr>
        <w:spacing w:line="360" w:lineRule="auto"/>
        <w:ind w:firstLine="600" w:firstLineChars="250"/>
        <w:rPr>
          <w:rFonts w:ascii="宋体" w:hAnsi="宋体" w:eastAsia="宋体" w:cs="宋体"/>
          <w:sz w:val="24"/>
        </w:rPr>
      </w:pPr>
      <w:r>
        <w:rPr>
          <w:rFonts w:hint="eastAsia" w:ascii="宋体" w:hAnsi="宋体" w:eastAsia="宋体" w:cs="宋体"/>
          <w:sz w:val="24"/>
        </w:rPr>
        <w:t>5、为了保证本项目售后服务质量的稳定，供应商需具备并提供理光品牌原厂售后认证工程师资质（不少于3人）；</w:t>
      </w:r>
    </w:p>
    <w:p>
      <w:pPr>
        <w:spacing w:line="360" w:lineRule="auto"/>
        <w:ind w:firstLine="600" w:firstLineChars="250"/>
        <w:rPr>
          <w:rFonts w:ascii="宋体" w:hAnsi="宋体" w:eastAsia="宋体" w:cs="宋体"/>
          <w:sz w:val="24"/>
        </w:rPr>
      </w:pPr>
      <w:r>
        <w:rPr>
          <w:rFonts w:ascii="宋体" w:hAnsi="宋体" w:eastAsia="宋体" w:cs="宋体"/>
          <w:sz w:val="24"/>
        </w:rPr>
        <w:t>6、故障设备的维修和配件更换：文印室内所有设备：速印机、复印机、胶装机、打印机，电脑等在运行过程中出现故障需要进行维修的均在此范畴。其中：保修期内的维修或者更换配件的费用由对应的厂家承担；超过保修期的维修由中标人提供维修服务，所涉及的费用包含在报价中。维修过程中需要更换配件的，由中标人提供；中标人必须保证所更换的配件是全新的、合格的产品，并经采购人认可的品牌。</w:t>
      </w:r>
    </w:p>
    <w:p>
      <w:pPr>
        <w:spacing w:line="360" w:lineRule="auto"/>
        <w:ind w:firstLine="600" w:firstLineChars="250"/>
        <w:rPr>
          <w:rFonts w:ascii="黑体" w:hAnsi="黑体" w:eastAsia="黑体" w:cs="黑体"/>
          <w:b/>
          <w:color w:val="000000"/>
          <w:kern w:val="0"/>
          <w:sz w:val="24"/>
        </w:rPr>
      </w:pPr>
      <w:r>
        <w:rPr>
          <w:rFonts w:ascii="宋体" w:hAnsi="宋体" w:eastAsia="宋体" w:cs="宋体"/>
          <w:sz w:val="24"/>
        </w:rPr>
        <w:t>7、打印耗材必须满足</w:t>
      </w:r>
      <w:r>
        <w:rPr>
          <w:rFonts w:hint="eastAsia" w:ascii="宋体" w:hAnsi="宋体" w:eastAsia="宋体" w:cs="宋体"/>
          <w:sz w:val="24"/>
          <w:lang w:val="en-US" w:eastAsia="zh-CN"/>
        </w:rPr>
        <w:t>学校</w:t>
      </w:r>
      <w:r>
        <w:rPr>
          <w:rFonts w:ascii="宋体" w:hAnsi="宋体" w:eastAsia="宋体" w:cs="宋体"/>
          <w:sz w:val="24"/>
        </w:rPr>
        <w:t>原打印设备的正常使用，所有提供的耗材（特别是彩色打印耗材）打印效果要求达到打印机原厂效果，校色正确，能正常分辨，且满足打印需求无投诉。所提供的硒鼓为全新产品，非再生产品。（投标人提供承诺函，承诺提供的耗材打印效果满足打印机原厂效果；承诺函格式自拟）</w:t>
      </w:r>
      <w:bookmarkEnd w:id="6"/>
      <w:bookmarkEnd w:id="7"/>
    </w:p>
    <w:p>
      <w:pPr>
        <w:rPr>
          <w:rFonts w:ascii="黑体" w:hAnsi="黑体" w:eastAsia="黑体" w:cs="黑体"/>
          <w:b/>
          <w:color w:val="000000"/>
          <w:kern w:val="0"/>
          <w:sz w:val="24"/>
        </w:rPr>
      </w:pPr>
    </w:p>
    <w:p>
      <w:pPr>
        <w:pStyle w:val="26"/>
        <w:rPr>
          <w:rFonts w:ascii="黑体" w:hAnsi="黑体" w:eastAsia="黑体" w:cs="黑体"/>
          <w:b/>
          <w:color w:val="000000"/>
          <w:kern w:val="0"/>
          <w:sz w:val="24"/>
        </w:rPr>
      </w:pPr>
    </w:p>
    <w:p>
      <w:pPr>
        <w:rPr>
          <w:rFonts w:ascii="黑体" w:hAnsi="黑体" w:eastAsia="黑体" w:cs="黑体"/>
          <w:b/>
          <w:color w:val="000000"/>
          <w:kern w:val="0"/>
          <w:sz w:val="24"/>
        </w:rPr>
      </w:pPr>
    </w:p>
    <w:p>
      <w:pPr>
        <w:pStyle w:val="26"/>
        <w:rPr>
          <w:rFonts w:ascii="黑体" w:hAnsi="黑体" w:eastAsia="黑体" w:cs="黑体"/>
          <w:b/>
          <w:color w:val="000000"/>
          <w:kern w:val="0"/>
          <w:sz w:val="24"/>
        </w:rPr>
      </w:pPr>
    </w:p>
    <w:p>
      <w:pPr>
        <w:rPr>
          <w:rFonts w:ascii="黑体" w:hAnsi="黑体" w:eastAsia="黑体" w:cs="黑体"/>
          <w:b/>
          <w:color w:val="000000"/>
          <w:kern w:val="0"/>
          <w:sz w:val="24"/>
        </w:rPr>
      </w:pPr>
    </w:p>
    <w:p>
      <w:pPr>
        <w:pStyle w:val="26"/>
        <w:rPr>
          <w:rFonts w:ascii="黑体" w:hAnsi="黑体" w:eastAsia="黑体" w:cs="黑体"/>
          <w:b/>
          <w:color w:val="000000"/>
          <w:kern w:val="0"/>
          <w:sz w:val="24"/>
        </w:rPr>
      </w:pPr>
    </w:p>
    <w:p>
      <w:pPr>
        <w:rPr>
          <w:rFonts w:ascii="黑体" w:hAnsi="黑体" w:eastAsia="黑体" w:cs="黑体"/>
          <w:b/>
          <w:color w:val="000000"/>
          <w:kern w:val="0"/>
          <w:sz w:val="24"/>
        </w:rPr>
      </w:pPr>
    </w:p>
    <w:p>
      <w:pPr>
        <w:pStyle w:val="26"/>
        <w:rPr>
          <w:rFonts w:ascii="黑体" w:hAnsi="黑体" w:eastAsia="黑体" w:cs="黑体"/>
          <w:b/>
          <w:color w:val="000000"/>
          <w:kern w:val="0"/>
          <w:sz w:val="24"/>
        </w:rPr>
      </w:pPr>
    </w:p>
    <w:p>
      <w:pPr>
        <w:rPr>
          <w:rFonts w:ascii="黑体" w:hAnsi="黑体" w:eastAsia="黑体" w:cs="黑体"/>
          <w:b/>
          <w:color w:val="000000"/>
          <w:kern w:val="0"/>
          <w:sz w:val="24"/>
        </w:rPr>
      </w:pPr>
    </w:p>
    <w:p>
      <w:pPr>
        <w:rPr>
          <w:rFonts w:ascii="黑体" w:hAnsi="黑体" w:eastAsia="黑体" w:cs="黑体"/>
          <w:b/>
          <w:color w:val="000000"/>
          <w:kern w:val="0"/>
          <w:sz w:val="24"/>
        </w:rPr>
      </w:pPr>
    </w:p>
    <w:p>
      <w:pPr>
        <w:rPr>
          <w:rFonts w:ascii="黑体" w:hAnsi="黑体" w:eastAsia="黑体" w:cs="黑体"/>
          <w:b/>
          <w:color w:val="000000"/>
          <w:kern w:val="0"/>
          <w:sz w:val="24"/>
        </w:rPr>
      </w:pPr>
    </w:p>
    <w:p>
      <w:pPr>
        <w:rPr>
          <w:rFonts w:ascii="黑体" w:hAnsi="黑体" w:eastAsia="黑体" w:cs="黑体"/>
          <w:b/>
          <w:color w:val="000000"/>
          <w:kern w:val="0"/>
          <w:sz w:val="24"/>
        </w:rPr>
      </w:pPr>
    </w:p>
    <w:p>
      <w:pPr>
        <w:rPr>
          <w:rFonts w:ascii="黑体" w:hAnsi="黑体" w:eastAsia="黑体" w:cs="黑体"/>
          <w:b/>
          <w:color w:val="000000"/>
          <w:kern w:val="0"/>
          <w:sz w:val="24"/>
        </w:rPr>
      </w:pPr>
    </w:p>
    <w:p>
      <w:pPr>
        <w:rPr>
          <w:rFonts w:ascii="黑体" w:hAnsi="黑体" w:eastAsia="黑体" w:cs="黑体"/>
          <w:b/>
          <w:color w:val="000000"/>
          <w:kern w:val="0"/>
          <w:sz w:val="24"/>
        </w:rPr>
      </w:pPr>
    </w:p>
    <w:p>
      <w:pPr>
        <w:rPr>
          <w:rFonts w:ascii="黑体" w:hAnsi="黑体" w:eastAsia="黑体" w:cs="黑体"/>
          <w:b/>
          <w:color w:val="000000"/>
          <w:kern w:val="0"/>
          <w:sz w:val="24"/>
        </w:rPr>
      </w:pPr>
    </w:p>
    <w:p>
      <w:pPr>
        <w:rPr>
          <w:rFonts w:ascii="黑体" w:hAnsi="黑体" w:eastAsia="黑体" w:cs="黑体"/>
          <w:b/>
          <w:color w:val="000000"/>
          <w:kern w:val="0"/>
          <w:sz w:val="24"/>
        </w:rPr>
      </w:pPr>
    </w:p>
    <w:p>
      <w:pPr>
        <w:rPr>
          <w:rFonts w:ascii="黑体" w:hAnsi="黑体" w:eastAsia="黑体" w:cs="黑体"/>
          <w:b/>
          <w:color w:val="000000"/>
          <w:kern w:val="0"/>
          <w:sz w:val="24"/>
        </w:rPr>
      </w:pPr>
    </w:p>
    <w:p>
      <w:pPr>
        <w:rPr>
          <w:rFonts w:ascii="黑体" w:hAnsi="黑体" w:eastAsia="黑体" w:cs="黑体"/>
          <w:b/>
          <w:color w:val="000000"/>
          <w:kern w:val="0"/>
          <w:sz w:val="24"/>
        </w:rPr>
      </w:pPr>
    </w:p>
    <w:p>
      <w:pPr>
        <w:rPr>
          <w:rFonts w:ascii="黑体" w:hAnsi="黑体" w:eastAsia="黑体" w:cs="黑体"/>
          <w:b/>
          <w:color w:val="000000"/>
          <w:kern w:val="0"/>
          <w:sz w:val="24"/>
        </w:rPr>
      </w:pPr>
    </w:p>
    <w:p>
      <w:pPr>
        <w:rPr>
          <w:rFonts w:ascii="黑体" w:hAnsi="黑体" w:eastAsia="黑体" w:cs="黑体"/>
          <w:b/>
          <w:color w:val="000000"/>
          <w:kern w:val="0"/>
          <w:sz w:val="24"/>
        </w:rPr>
      </w:pPr>
    </w:p>
    <w:p>
      <w:pPr>
        <w:rPr>
          <w:rFonts w:ascii="黑体" w:hAnsi="黑体" w:eastAsia="黑体" w:cs="黑体"/>
          <w:b/>
          <w:color w:val="000000"/>
          <w:kern w:val="0"/>
          <w:sz w:val="24"/>
        </w:rPr>
      </w:pPr>
    </w:p>
    <w:p>
      <w:pPr>
        <w:rPr>
          <w:rFonts w:ascii="黑体" w:hAnsi="黑体" w:eastAsia="黑体" w:cs="黑体"/>
          <w:b/>
          <w:color w:val="000000"/>
          <w:kern w:val="0"/>
          <w:sz w:val="24"/>
        </w:rPr>
      </w:pPr>
    </w:p>
    <w:p>
      <w:pPr>
        <w:topLinePunct/>
        <w:spacing w:line="360" w:lineRule="auto"/>
        <w:jc w:val="left"/>
        <w:rPr>
          <w:rFonts w:ascii="黑体" w:hAnsi="黑体" w:eastAsia="黑体" w:cs="黑体"/>
          <w:b/>
          <w:color w:val="000000"/>
          <w:kern w:val="0"/>
          <w:sz w:val="24"/>
        </w:rPr>
      </w:pPr>
      <w:r>
        <w:rPr>
          <w:rFonts w:hint="eastAsia" w:ascii="黑体" w:hAnsi="黑体" w:eastAsia="黑体" w:cs="黑体"/>
          <w:b/>
          <w:color w:val="000000"/>
          <w:kern w:val="0"/>
          <w:sz w:val="24"/>
        </w:rPr>
        <w:t>附件1</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pPr>
        <w:widowControl/>
        <w:spacing w:before="156" w:beforeLines="50"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left="239" w:leftChars="114" w:firstLine="240" w:firstLineChars="100"/>
        <w:jc w:val="left"/>
        <w:rPr>
          <w:rFonts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pPr>
        <w:widowControl/>
        <w:spacing w:line="42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授权代表身份证复印件：</w:t>
      </w:r>
    </w:p>
    <w:tbl>
      <w:tblPr>
        <w:tblStyle w:val="19"/>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44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法人身份证复印件：</w:t>
      </w:r>
    </w:p>
    <w:tbl>
      <w:tblPr>
        <w:tblStyle w:val="19"/>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375" w:lineRule="atLeast"/>
        <w:jc w:val="left"/>
        <w:rPr>
          <w:rFonts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pPr>
        <w:widowControl/>
        <w:spacing w:before="124" w:beforeLines="40" w:after="124" w:afterLines="40" w:line="375" w:lineRule="atLeast"/>
        <w:jc w:val="left"/>
        <w:rPr>
          <w:rFonts w:ascii="微软雅黑" w:hAnsi="微软雅黑" w:eastAsia="微软雅黑" w:cs="微软雅黑"/>
          <w:b/>
          <w:color w:val="000000"/>
          <w:kern w:val="0"/>
          <w:sz w:val="24"/>
        </w:rPr>
      </w:pPr>
      <w:r>
        <w:rPr>
          <w:rFonts w:hint="eastAsia" w:ascii="黑体" w:hAnsi="黑体" w:eastAsia="黑体" w:cs="黑体"/>
          <w:b/>
          <w:color w:val="000000"/>
          <w:kern w:val="0"/>
          <w:sz w:val="24"/>
        </w:rPr>
        <w:t>附件2</w:t>
      </w:r>
    </w:p>
    <w:p>
      <w:pPr>
        <w:widowControl/>
        <w:spacing w:before="124" w:beforeLines="40" w:after="124" w:afterLines="40" w:line="375" w:lineRule="atLeast"/>
        <w:jc w:val="center"/>
        <w:rPr>
          <w:rFonts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pPr>
        <w:widowControl/>
        <w:spacing w:line="420" w:lineRule="exact"/>
        <w:ind w:firstLine="480" w:firstLineChars="200"/>
        <w:jc w:val="left"/>
        <w:rPr>
          <w:rFonts w:ascii="宋体" w:hAnsi="宋体" w:cs="宋体"/>
          <w:color w:val="000000"/>
          <w:kern w:val="0"/>
          <w:sz w:val="24"/>
        </w:rPr>
      </w:pPr>
      <w:r>
        <w:rPr>
          <w:rFonts w:ascii="宋体" w:hAnsi="宋体" w:cs="宋体"/>
          <w:color w:val="000000"/>
          <w:kern w:val="0"/>
          <w:sz w:val="24"/>
        </w:rPr>
        <w:t>致：</w:t>
      </w:r>
      <w:bookmarkStart w:id="8" w:name="_Hlk160811117"/>
      <w:r>
        <w:rPr>
          <w:rFonts w:ascii="宋体" w:hAnsi="宋体" w:cs="宋体"/>
          <w:color w:val="000000"/>
          <w:kern w:val="0"/>
          <w:sz w:val="24"/>
        </w:rPr>
        <w:t>湖南</w:t>
      </w:r>
      <w:r>
        <w:rPr>
          <w:rFonts w:hint="eastAsia" w:ascii="宋体" w:hAnsi="宋体" w:cs="宋体"/>
          <w:color w:val="000000"/>
          <w:kern w:val="0"/>
          <w:sz w:val="24"/>
        </w:rPr>
        <w:t>化工职业技术学院</w:t>
      </w:r>
      <w:r>
        <w:rPr>
          <w:rFonts w:ascii="宋体" w:hAnsi="宋体" w:cs="宋体"/>
          <w:color w:val="000000"/>
          <w:kern w:val="0"/>
          <w:sz w:val="24"/>
        </w:rPr>
        <w:t>：</w:t>
      </w:r>
    </w:p>
    <w:bookmarkEnd w:id="8"/>
    <w:p>
      <w:pPr>
        <w:widowControl/>
        <w:spacing w:line="420" w:lineRule="exact"/>
        <w:ind w:firstLine="960" w:firstLineChars="400"/>
        <w:jc w:val="left"/>
        <w:rPr>
          <w:rFonts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1、</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2、</w:t>
      </w:r>
    </w:p>
    <w:p>
      <w:pPr>
        <w:widowControl/>
        <w:spacing w:line="420" w:lineRule="exact"/>
        <w:ind w:firstLine="960" w:firstLineChars="400"/>
        <w:jc w:val="left"/>
        <w:rPr>
          <w:rFonts w:ascii="宋体" w:hAnsi="宋体" w:cs="宋体"/>
          <w:color w:val="000000"/>
          <w:kern w:val="0"/>
          <w:sz w:val="24"/>
        </w:rPr>
      </w:pPr>
    </w:p>
    <w:p>
      <w:pPr>
        <w:widowControl/>
        <w:spacing w:line="420" w:lineRule="exact"/>
        <w:ind w:firstLine="964" w:firstLineChars="400"/>
        <w:jc w:val="left"/>
        <w:rPr>
          <w:rFonts w:ascii="宋体" w:hAnsi="宋体" w:cs="宋体"/>
          <w:b/>
          <w:bCs/>
          <w:color w:val="000000"/>
          <w:kern w:val="0"/>
          <w:sz w:val="24"/>
        </w:rPr>
      </w:pPr>
      <w:bookmarkStart w:id="9" w:name="_Hlk160811156"/>
      <w:r>
        <w:rPr>
          <w:rFonts w:ascii="宋体" w:hAnsi="宋体" w:cs="宋体"/>
          <w:b/>
          <w:bCs/>
          <w:color w:val="000000"/>
          <w:kern w:val="0"/>
          <w:sz w:val="24"/>
        </w:rPr>
        <w:t>特此承诺</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bookmarkEnd w:id="9"/>
    <w:p>
      <w:pPr>
        <w:adjustRightInd w:val="0"/>
        <w:snapToGrid w:val="0"/>
        <w:spacing w:line="480" w:lineRule="auto"/>
        <w:ind w:right="23" w:rightChars="11" w:firstLine="480" w:firstLineChars="200"/>
        <w:rPr>
          <w:rFonts w:ascii="宋体" w:hAnsi="宋体" w:cs="宋体"/>
          <w:bCs/>
          <w:color w:val="000000"/>
          <w:sz w:val="24"/>
        </w:rPr>
      </w:pPr>
      <w:r>
        <w:rPr>
          <w:rFonts w:hint="eastAsia" w:ascii="宋体" w:hAnsi="宋体" w:cs="宋体"/>
          <w:bCs/>
          <w:color w:val="000000"/>
          <w:kern w:val="0"/>
          <w:sz w:val="24"/>
        </w:rPr>
        <w:t xml:space="preserve">                     </w:t>
      </w: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widowControl/>
        <w:spacing w:line="375" w:lineRule="atLeast"/>
        <w:ind w:firstLine="102" w:firstLineChars="49"/>
        <w:jc w:val="left"/>
        <w:rPr>
          <w:color w:val="000000"/>
        </w:rPr>
      </w:pPr>
    </w:p>
    <w:p>
      <w:pPr>
        <w:widowControl/>
        <w:spacing w:line="375" w:lineRule="atLeast"/>
        <w:ind w:firstLine="137" w:firstLineChars="49"/>
        <w:jc w:val="left"/>
        <w:rPr>
          <w:rFonts w:ascii="黑体" w:hAnsi="黑体" w:eastAsia="黑体" w:cs="黑体"/>
          <w:bCs/>
          <w:color w:val="000000"/>
          <w:kern w:val="0"/>
          <w:sz w:val="28"/>
          <w:szCs w:val="28"/>
        </w:rPr>
      </w:pPr>
    </w:p>
    <w:p>
      <w:pPr>
        <w:widowControl/>
        <w:spacing w:before="124" w:beforeLines="40" w:after="124" w:afterLines="40"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附件3</w:t>
      </w:r>
    </w:p>
    <w:p>
      <w:pPr>
        <w:widowControl/>
        <w:spacing w:before="124" w:beforeLines="40" w:after="124" w:afterLines="40" w:line="375" w:lineRule="atLeast"/>
        <w:jc w:val="center"/>
        <w:rPr>
          <w:rFonts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pPr>
        <w:widowControl/>
        <w:spacing w:before="124" w:beforeLines="40" w:after="124" w:afterLines="40"/>
        <w:jc w:val="center"/>
        <w:rPr>
          <w:rFonts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pPr>
        <w:pStyle w:val="16"/>
        <w:widowControl w:val="0"/>
        <w:adjustRightInd w:val="0"/>
        <w:snapToGrid w:val="0"/>
        <w:spacing w:before="156" w:beforeLines="50" w:beforeAutospacing="0" w:after="0" w:afterAutospacing="0" w:line="360" w:lineRule="auto"/>
        <w:ind w:firstLine="480" w:firstLineChars="200"/>
        <w:rPr>
          <w:rFonts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pPr>
        <w:pStyle w:val="16"/>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pPr>
        <w:pStyle w:val="16"/>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3、依法缴纳税收和社会保险费的证明材料；</w:t>
      </w:r>
    </w:p>
    <w:p>
      <w:pPr>
        <w:pStyle w:val="16"/>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4、电子卖场资质证明材料；</w:t>
      </w:r>
    </w:p>
    <w:p>
      <w:pPr>
        <w:pStyle w:val="16"/>
        <w:widowControl w:val="0"/>
        <w:adjustRightInd w:val="0"/>
        <w:snapToGrid w:val="0"/>
        <w:spacing w:before="0" w:beforeAutospacing="0" w:after="0" w:afterAutospacing="0" w:line="360" w:lineRule="auto"/>
        <w:ind w:firstLine="480" w:firstLineChars="200"/>
        <w:rPr>
          <w:bCs/>
          <w:color w:val="000000"/>
          <w:szCs w:val="21"/>
        </w:rPr>
      </w:pPr>
      <w:r>
        <w:rPr>
          <w:rFonts w:hint="eastAsia" w:cs="宋体"/>
          <w:bCs/>
          <w:color w:val="000000"/>
        </w:rPr>
        <w:t>5、资格证明文件复印件须加盖供应商公章。</w:t>
      </w:r>
    </w:p>
    <w:p>
      <w:pPr>
        <w:pStyle w:val="16"/>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6、特定资格条件证明材料。</w:t>
      </w:r>
    </w:p>
    <w:p>
      <w:pPr>
        <w:pStyle w:val="16"/>
        <w:widowControl w:val="0"/>
        <w:adjustRightInd w:val="0"/>
        <w:snapToGrid w:val="0"/>
        <w:spacing w:before="0" w:beforeAutospacing="0" w:after="0" w:afterAutospacing="0" w:line="360" w:lineRule="auto"/>
        <w:ind w:firstLine="480" w:firstLineChars="200"/>
        <w:rPr>
          <w:rFonts w:cs="宋体"/>
          <w:bCs/>
          <w:color w:val="000000"/>
        </w:rPr>
        <w:sectPr>
          <w:headerReference r:id="rId3" w:type="default"/>
          <w:pgSz w:w="11906" w:h="16838"/>
          <w:pgMar w:top="1440" w:right="1134" w:bottom="1440" w:left="1418" w:header="851" w:footer="992" w:gutter="0"/>
          <w:cols w:space="720" w:num="1"/>
          <w:docGrid w:type="lines" w:linePitch="312" w:charSpace="0"/>
        </w:sect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附件4</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line="420" w:lineRule="exact"/>
        <w:ind w:left="-88" w:leftChars="-42"/>
        <w:rPr>
          <w:rFonts w:ascii="宋体" w:hAnsi="宋体"/>
          <w:color w:val="000000"/>
          <w:szCs w:val="21"/>
        </w:rPr>
      </w:pPr>
      <w:r>
        <w:rPr>
          <w:rFonts w:hint="eastAsia" w:ascii="宋体" w:hAnsi="宋体"/>
          <w:color w:val="000000"/>
          <w:szCs w:val="21"/>
        </w:rPr>
        <w:t xml:space="preserve">                                                               金额单位：人民币元</w:t>
      </w:r>
    </w:p>
    <w:tbl>
      <w:tblPr>
        <w:tblStyle w:val="18"/>
        <w:tblW w:w="9998" w:type="dxa"/>
        <w:jc w:val="center"/>
        <w:tblLayout w:type="fixed"/>
        <w:tblCellMar>
          <w:top w:w="0" w:type="dxa"/>
          <w:left w:w="108" w:type="dxa"/>
          <w:bottom w:w="0" w:type="dxa"/>
          <w:right w:w="108" w:type="dxa"/>
        </w:tblCellMar>
      </w:tblPr>
      <w:tblGrid>
        <w:gridCol w:w="495"/>
        <w:gridCol w:w="1119"/>
        <w:gridCol w:w="2355"/>
        <w:gridCol w:w="600"/>
        <w:gridCol w:w="765"/>
        <w:gridCol w:w="1230"/>
        <w:gridCol w:w="959"/>
        <w:gridCol w:w="1065"/>
        <w:gridCol w:w="1410"/>
      </w:tblGrid>
      <w:tr>
        <w:tblPrEx>
          <w:tblCellMar>
            <w:top w:w="0" w:type="dxa"/>
            <w:left w:w="108" w:type="dxa"/>
            <w:bottom w:w="0" w:type="dxa"/>
            <w:right w:w="108" w:type="dxa"/>
          </w:tblCellMar>
        </w:tblPrEx>
        <w:trPr>
          <w:trHeight w:val="64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b/>
                <w:bCs/>
                <w:color w:val="000000"/>
                <w:sz w:val="21"/>
                <w:szCs w:val="21"/>
              </w:rPr>
            </w:pPr>
            <w:r>
              <w:rPr>
                <w:rFonts w:hint="eastAsia" w:ascii="宋体" w:hAnsi="宋体" w:eastAsia="宋体" w:cs="仿宋_GB2312"/>
                <w:b/>
                <w:bCs/>
                <w:color w:val="000000"/>
                <w:kern w:val="0"/>
                <w:sz w:val="21"/>
                <w:szCs w:val="21"/>
              </w:rPr>
              <w:t>序号</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hint="eastAsia" w:ascii="宋体" w:hAnsi="宋体" w:eastAsia="宋体" w:cs="仿宋_GB2312"/>
                <w:b/>
                <w:bCs/>
                <w:color w:val="000000"/>
                <w:kern w:val="0"/>
                <w:sz w:val="21"/>
                <w:szCs w:val="21"/>
              </w:rPr>
            </w:pPr>
            <w:r>
              <w:rPr>
                <w:rFonts w:hint="eastAsia" w:ascii="宋体" w:hAnsi="宋体" w:eastAsia="宋体" w:cs="仿宋_GB2312"/>
                <w:b/>
                <w:bCs/>
                <w:color w:val="000000"/>
                <w:kern w:val="0"/>
                <w:sz w:val="21"/>
                <w:szCs w:val="21"/>
              </w:rPr>
              <w:t>货物</w:t>
            </w:r>
          </w:p>
          <w:p>
            <w:pPr>
              <w:widowControl/>
              <w:snapToGrid w:val="0"/>
              <w:jc w:val="center"/>
              <w:textAlignment w:val="center"/>
              <w:rPr>
                <w:rFonts w:ascii="宋体" w:hAnsi="宋体" w:eastAsia="宋体" w:cs="仿宋_GB2312"/>
                <w:b/>
                <w:bCs/>
                <w:color w:val="000000"/>
                <w:sz w:val="21"/>
                <w:szCs w:val="21"/>
              </w:rPr>
            </w:pPr>
            <w:r>
              <w:rPr>
                <w:rFonts w:hint="eastAsia" w:ascii="宋体" w:hAnsi="宋体" w:eastAsia="宋体" w:cs="仿宋_GB2312"/>
                <w:b/>
                <w:bCs/>
                <w:color w:val="000000"/>
                <w:kern w:val="0"/>
                <w:sz w:val="21"/>
                <w:szCs w:val="21"/>
              </w:rPr>
              <w:t>名称</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b/>
                <w:bCs/>
                <w:color w:val="000000"/>
                <w:sz w:val="21"/>
                <w:szCs w:val="21"/>
              </w:rPr>
            </w:pPr>
            <w:r>
              <w:rPr>
                <w:rFonts w:hint="eastAsia" w:ascii="宋体" w:hAnsi="宋体" w:eastAsia="宋体" w:cs="仿宋_GB2312"/>
                <w:b/>
                <w:bCs/>
                <w:color w:val="000000"/>
                <w:kern w:val="0"/>
                <w:sz w:val="21"/>
                <w:szCs w:val="21"/>
              </w:rPr>
              <w:t>技术规格</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b/>
                <w:bCs/>
                <w:color w:val="000000"/>
                <w:sz w:val="21"/>
                <w:szCs w:val="21"/>
              </w:rPr>
            </w:pPr>
            <w:r>
              <w:rPr>
                <w:rFonts w:hint="eastAsia" w:ascii="宋体" w:hAnsi="宋体" w:eastAsia="宋体" w:cs="仿宋_GB2312"/>
                <w:b/>
                <w:bCs/>
                <w:color w:val="000000"/>
                <w:kern w:val="0"/>
                <w:sz w:val="21"/>
                <w:szCs w:val="21"/>
              </w:rPr>
              <w:t>数量</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b/>
                <w:bCs/>
                <w:color w:val="000000"/>
                <w:sz w:val="21"/>
                <w:szCs w:val="21"/>
              </w:rPr>
            </w:pPr>
            <w:r>
              <w:rPr>
                <w:rFonts w:hint="eastAsia" w:ascii="宋体" w:hAnsi="宋体" w:eastAsia="宋体" w:cs="仿宋_GB2312"/>
                <w:b/>
                <w:bCs/>
                <w:color w:val="000000"/>
                <w:kern w:val="0"/>
                <w:sz w:val="21"/>
                <w:szCs w:val="21"/>
              </w:rPr>
              <w:t>单位</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b/>
                <w:bCs/>
                <w:color w:val="000000"/>
                <w:kern w:val="0"/>
                <w:sz w:val="21"/>
                <w:szCs w:val="21"/>
              </w:rPr>
            </w:pPr>
            <w:r>
              <w:rPr>
                <w:rFonts w:hint="eastAsia" w:ascii="宋体" w:hAnsi="宋体" w:eastAsia="宋体" w:cs="仿宋_GB2312"/>
                <w:b/>
                <w:bCs/>
                <w:color w:val="000000"/>
                <w:kern w:val="0"/>
                <w:sz w:val="21"/>
                <w:szCs w:val="21"/>
              </w:rPr>
              <w:t>供货品牌</w:t>
            </w: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b/>
                <w:bCs/>
                <w:color w:val="000000"/>
                <w:kern w:val="0"/>
                <w:sz w:val="21"/>
                <w:szCs w:val="21"/>
              </w:rPr>
            </w:pPr>
            <w:r>
              <w:rPr>
                <w:rFonts w:hint="eastAsia" w:ascii="宋体" w:hAnsi="宋体" w:eastAsia="宋体" w:cs="仿宋_GB2312"/>
                <w:b/>
                <w:bCs/>
                <w:color w:val="000000"/>
                <w:kern w:val="0"/>
                <w:sz w:val="21"/>
                <w:szCs w:val="21"/>
              </w:rPr>
              <w:t>单价</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b/>
                <w:bCs/>
                <w:color w:val="000000"/>
                <w:kern w:val="0"/>
                <w:sz w:val="21"/>
                <w:szCs w:val="21"/>
              </w:rPr>
            </w:pPr>
            <w:r>
              <w:rPr>
                <w:rFonts w:hint="eastAsia" w:ascii="宋体" w:hAnsi="宋体" w:eastAsia="宋体" w:cs="仿宋_GB2312"/>
                <w:b/>
                <w:bCs/>
                <w:color w:val="000000"/>
                <w:kern w:val="0"/>
                <w:sz w:val="21"/>
                <w:szCs w:val="21"/>
              </w:rPr>
              <w:t>总价</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b/>
                <w:bCs/>
                <w:color w:val="000000"/>
                <w:sz w:val="21"/>
                <w:szCs w:val="21"/>
              </w:rPr>
            </w:pPr>
            <w:r>
              <w:rPr>
                <w:rFonts w:hint="eastAsia" w:ascii="宋体" w:hAnsi="宋体" w:eastAsia="宋体" w:cs="仿宋_GB2312"/>
                <w:b/>
                <w:bCs/>
                <w:color w:val="000000"/>
                <w:kern w:val="0"/>
                <w:sz w:val="21"/>
                <w:szCs w:val="21"/>
              </w:rPr>
              <w:t>备注</w:t>
            </w:r>
          </w:p>
        </w:tc>
      </w:tr>
      <w:tr>
        <w:tblPrEx>
          <w:tblCellMar>
            <w:top w:w="0" w:type="dxa"/>
            <w:left w:w="108" w:type="dxa"/>
            <w:bottom w:w="0" w:type="dxa"/>
            <w:right w:w="108" w:type="dxa"/>
          </w:tblCellMar>
        </w:tblPrEx>
        <w:trPr>
          <w:trHeight w:val="126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1</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复印纸</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A4复印纸(80g)</w:t>
            </w:r>
          </w:p>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500张/包，白色（宽210mm*高297mm）全木浆，厚度≧112，亮度≧103，不透明度≧95.9，纵向挺度≧120,横向挺度≧52.3，正面平滑度≧27S，反面平滑度≧25S.无颗粒粉尘，过机不卡纸（纸质存档克保存60年）</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80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箱</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（8包）</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提供样品，提供检测报告</w:t>
            </w:r>
          </w:p>
        </w:tc>
      </w:tr>
      <w:tr>
        <w:tblPrEx>
          <w:tblCellMar>
            <w:top w:w="0" w:type="dxa"/>
            <w:left w:w="108" w:type="dxa"/>
            <w:bottom w:w="0" w:type="dxa"/>
            <w:right w:w="108" w:type="dxa"/>
          </w:tblCellMar>
        </w:tblPrEx>
        <w:trPr>
          <w:trHeight w:val="126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复印纸</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A3复印纸(80g)</w:t>
            </w:r>
          </w:p>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500张/包，白色（宽297mm*高420mm）全木浆，厚度≧112，亮度≧103，不透明度≧95.9，纵向挺度≧120,横向挺度≧52.3，正面平滑度≧27S，反面平滑度≧25S.无颗粒粉尘，过机不卡纸（纸质存档克保存60年）</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40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箱</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 xml:space="preserve">（4包） </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提供样品，提供检测报告</w:t>
            </w:r>
          </w:p>
        </w:tc>
      </w:tr>
      <w:tr>
        <w:tblPrEx>
          <w:tblCellMar>
            <w:top w:w="0" w:type="dxa"/>
            <w:left w:w="108" w:type="dxa"/>
            <w:bottom w:w="0" w:type="dxa"/>
            <w:right w:w="108" w:type="dxa"/>
          </w:tblCellMar>
        </w:tblPrEx>
        <w:trPr>
          <w:trHeight w:val="126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3</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复印纸</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8K复印纸(80g)</w:t>
            </w:r>
          </w:p>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500张/包，白色（宽270mm*高390mm）全木浆，厚度≧112，亮度≧103，不透明度≧95.9，纵向挺度≧120,横向挺度≧52.3，正面平滑度≧27S，反面平滑度≧25S.无颗粒粉尘，过机不卡纸（纸质存档克保存60年）</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箱</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（4包）</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提供样品，提供检测报告</w:t>
            </w:r>
          </w:p>
        </w:tc>
      </w:tr>
      <w:tr>
        <w:tblPrEx>
          <w:tblCellMar>
            <w:top w:w="0" w:type="dxa"/>
            <w:left w:w="108" w:type="dxa"/>
            <w:bottom w:w="0" w:type="dxa"/>
            <w:right w:w="108" w:type="dxa"/>
          </w:tblCellMar>
        </w:tblPrEx>
        <w:trPr>
          <w:trHeight w:val="126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4</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复印纸</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A4白色卡纸(200g)</w:t>
            </w:r>
          </w:p>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100张/包，白色（宽210mm*高297mm）全木浆，厚度≧250.无颗粒粉尘，过机不卡纸（纸质存档克保存60年）</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30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包</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（100张）</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提供样品，提供检测报告</w:t>
            </w:r>
          </w:p>
        </w:tc>
      </w:tr>
      <w:tr>
        <w:tblPrEx>
          <w:tblCellMar>
            <w:top w:w="0" w:type="dxa"/>
            <w:left w:w="108" w:type="dxa"/>
            <w:bottom w:w="0" w:type="dxa"/>
            <w:right w:w="108" w:type="dxa"/>
          </w:tblCellMar>
        </w:tblPrEx>
        <w:trPr>
          <w:trHeight w:val="126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理光4440</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版纸</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速印机版纸</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3</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箱</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（10卷）</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提供样品</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原厂原装</w:t>
            </w:r>
          </w:p>
        </w:tc>
      </w:tr>
      <w:tr>
        <w:tblPrEx>
          <w:tblCellMar>
            <w:top w:w="0" w:type="dxa"/>
            <w:left w:w="108" w:type="dxa"/>
            <w:bottom w:w="0" w:type="dxa"/>
            <w:right w:w="108" w:type="dxa"/>
          </w:tblCellMar>
        </w:tblPrEx>
        <w:trPr>
          <w:trHeight w:val="126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6</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理光4440油墨</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速印机油墨</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3</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箱</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（20支）</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sz w:val="21"/>
                <w:szCs w:val="21"/>
                <w14:textFill>
                  <w14:solidFill>
                    <w14:schemeClr w14:val="tx1"/>
                  </w14:solidFill>
                </w14:textFill>
              </w:rPr>
              <w:t>提供样品</w:t>
            </w:r>
          </w:p>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ascii="宋体" w:hAnsi="宋体" w:eastAsia="宋体" w:cs="仿宋_GB2312"/>
                <w:color w:val="000000" w:themeColor="text1"/>
                <w:sz w:val="21"/>
                <w:szCs w:val="21"/>
                <w14:textFill>
                  <w14:solidFill>
                    <w14:schemeClr w14:val="tx1"/>
                  </w14:solidFill>
                </w14:textFill>
              </w:rPr>
              <w:t>原厂原装</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7</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（京瓷4053）复印机碳粉</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黑色</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8</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（京瓷4053）复印机碳粉</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红色</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9</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（京瓷4053）复印机碳粉</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蓝色</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3</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（京瓷4053）复印机碳粉</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黄色</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3</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11</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（京瓷3354）复印机碳粉</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黑色</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12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（京瓷3354）复印机碳粉</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红色</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13</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（京瓷3354）复印机碳粉</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蓝色</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3</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14</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（京瓷3354）复印机碳粉</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黄色</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3</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支</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要和现有设备相匹配，</w:t>
            </w:r>
            <w:r>
              <w:rPr>
                <w:rFonts w:hint="eastAsia" w:ascii="宋体" w:hAnsi="宋体" w:eastAsia="宋体" w:cs="宋体"/>
                <w:kern w:val="0"/>
                <w:sz w:val="21"/>
                <w:szCs w:val="21"/>
              </w:rPr>
              <w:t>原装正品耗材，提供上门安装服务</w:t>
            </w: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4"/>
                <w14:textFill>
                  <w14:solidFill>
                    <w14:schemeClr w14:val="tx1"/>
                  </w14:solidFill>
                </w14:textFill>
              </w:rPr>
            </w:pPr>
            <w:r>
              <w:rPr>
                <w:rFonts w:hint="eastAsia" w:ascii="宋体" w:hAnsi="宋体" w:eastAsia="宋体" w:cs="仿宋_GB2312"/>
                <w:color w:val="000000" w:themeColor="text1"/>
                <w:kern w:val="0"/>
                <w:sz w:val="24"/>
                <w14:textFill>
                  <w14:solidFill>
                    <w14:schemeClr w14:val="tx1"/>
                  </w14:solidFill>
                </w14:textFill>
              </w:rPr>
              <w:t>15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维修人工费</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印刷机、彩色复印机、胶装机的维修服务</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20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宋体" w:hAnsi="宋体" w:eastAsia="宋体" w:cs="仿宋_GB2312"/>
                <w:color w:val="000000" w:themeColor="text1"/>
                <w:kern w:val="0"/>
                <w:sz w:val="21"/>
                <w:szCs w:val="21"/>
                <w14:textFill>
                  <w14:solidFill>
                    <w14:schemeClr w14:val="tx1"/>
                  </w14:solidFill>
                </w14:textFill>
              </w:rPr>
            </w:pPr>
            <w:r>
              <w:rPr>
                <w:rFonts w:hint="eastAsia" w:ascii="宋体" w:hAnsi="宋体" w:eastAsia="宋体" w:cs="仿宋_GB2312"/>
                <w:color w:val="000000" w:themeColor="text1"/>
                <w:kern w:val="0"/>
                <w:sz w:val="21"/>
                <w:szCs w:val="21"/>
                <w14:textFill>
                  <w14:solidFill>
                    <w14:schemeClr w14:val="tx1"/>
                  </w14:solidFill>
                </w14:textFill>
              </w:rPr>
              <w:t>次</w:t>
            </w:r>
          </w:p>
        </w:tc>
        <w:tc>
          <w:tcPr>
            <w:tcW w:w="12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9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0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olor w:val="000000" w:themeColor="text1"/>
                <w:sz w:val="21"/>
                <w:szCs w:val="21"/>
                <w14:textFill>
                  <w14:solidFill>
                    <w14:schemeClr w14:val="tx1"/>
                  </w14:solidFill>
                </w14:textFill>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68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hint="default" w:ascii="宋体" w:hAnsi="宋体" w:eastAsia="宋体" w:cs="仿宋_GB2312"/>
                <w:color w:val="000000" w:themeColor="text1"/>
                <w:kern w:val="0"/>
                <w:sz w:val="24"/>
                <w:lang w:val="en-US" w:eastAsia="zh-CN"/>
                <w14:textFill>
                  <w14:solidFill>
                    <w14:schemeClr w14:val="tx1"/>
                  </w14:solidFill>
                </w14:textFill>
              </w:rPr>
            </w:pPr>
            <w:r>
              <w:rPr>
                <w:rFonts w:hint="eastAsia" w:ascii="宋体" w:hAnsi="宋体" w:cs="仿宋_GB2312"/>
                <w:color w:val="000000" w:themeColor="text1"/>
                <w:kern w:val="0"/>
                <w:sz w:val="24"/>
                <w:lang w:val="en-US" w:eastAsia="zh-CN"/>
                <w14:textFill>
                  <w14:solidFill>
                    <w14:schemeClr w14:val="tx1"/>
                  </w14:solidFill>
                </w14:textFill>
              </w:rPr>
              <w:t>16</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hint="eastAsia" w:ascii="宋体" w:hAnsi="宋体" w:eastAsia="宋体" w:cs="仿宋_GB2312"/>
                <w:color w:val="000000" w:themeColor="text1"/>
                <w:kern w:val="0"/>
                <w:sz w:val="2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报价汇总/元</w:t>
            </w:r>
          </w:p>
        </w:tc>
        <w:tc>
          <w:tcPr>
            <w:tcW w:w="838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olor w:val="000000" w:themeColor="text1"/>
                <w:sz w:val="21"/>
                <w:szCs w:val="21"/>
                <w14:textFill>
                  <w14:solidFill>
                    <w14:schemeClr w14:val="tx1"/>
                  </w14:solidFill>
                </w14:textFill>
              </w:rPr>
            </w:pPr>
          </w:p>
        </w:tc>
      </w:tr>
    </w:tbl>
    <w:p>
      <w:pPr>
        <w:widowControl/>
        <w:spacing w:line="480" w:lineRule="auto"/>
        <w:ind w:firstLine="480" w:firstLineChars="200"/>
        <w:jc w:val="left"/>
        <w:rPr>
          <w:rFonts w:hint="eastAsia" w:ascii="宋体" w:hAnsi="宋体" w:cs="宋体"/>
          <w:color w:val="000000"/>
          <w:sz w:val="24"/>
        </w:rPr>
      </w:pPr>
    </w:p>
    <w:p>
      <w:pPr>
        <w:widowControl/>
        <w:spacing w:line="480" w:lineRule="auto"/>
        <w:ind w:firstLine="480" w:firstLineChars="200"/>
        <w:jc w:val="left"/>
        <w:rPr>
          <w:rFonts w:hint="eastAsia" w:ascii="宋体" w:hAnsi="宋体" w:cs="宋体"/>
          <w:color w:val="000000"/>
          <w:sz w:val="24"/>
        </w:rPr>
      </w:pPr>
    </w:p>
    <w:p>
      <w:pPr>
        <w:widowControl/>
        <w:spacing w:line="480" w:lineRule="auto"/>
        <w:ind w:firstLine="480" w:firstLineChars="200"/>
        <w:jc w:val="left"/>
        <w:rPr>
          <w:rFonts w:hint="eastAsia" w:ascii="宋体" w:hAnsi="宋体" w:cs="宋体"/>
          <w:color w:val="000000"/>
          <w:sz w:val="24"/>
        </w:rPr>
      </w:pPr>
    </w:p>
    <w:p>
      <w:pPr>
        <w:widowControl/>
        <w:spacing w:line="480" w:lineRule="auto"/>
        <w:ind w:firstLine="480" w:firstLineChars="200"/>
        <w:jc w:val="left"/>
        <w:rPr>
          <w:rFonts w:hint="eastAsia" w:ascii="宋体" w:hAnsi="宋体" w:cs="宋体"/>
          <w:color w:val="000000"/>
          <w:sz w:val="24"/>
        </w:rPr>
      </w:pPr>
    </w:p>
    <w:p>
      <w:pPr>
        <w:widowControl/>
        <w:spacing w:line="480" w:lineRule="auto"/>
        <w:ind w:firstLine="480" w:firstLineChars="200"/>
        <w:jc w:val="left"/>
        <w:rPr>
          <w:rFonts w:hint="eastAsia" w:ascii="宋体" w:hAnsi="宋体" w:cs="宋体"/>
          <w:color w:val="000000"/>
          <w:sz w:val="24"/>
        </w:rPr>
      </w:pPr>
    </w:p>
    <w:p>
      <w:pPr>
        <w:widowControl/>
        <w:spacing w:line="480" w:lineRule="auto"/>
        <w:ind w:firstLine="480" w:firstLineChars="200"/>
        <w:jc w:val="left"/>
        <w:rPr>
          <w:rFonts w:ascii="宋体" w:hAnsi="宋体" w:cs="宋体"/>
          <w:b/>
          <w:bCs/>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宋体" w:hAnsi="宋体" w:cs="宋体"/>
          <w:bCs/>
          <w:color w:val="000000"/>
          <w:sz w:val="24"/>
        </w:rPr>
      </w:pPr>
      <w:bookmarkStart w:id="10"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10"/>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before="156" w:beforeLines="50" w:line="360" w:lineRule="auto"/>
        <w:jc w:val="center"/>
        <w:rPr>
          <w:rFonts w:hint="eastAsia" w:ascii="微软雅黑" w:hAnsi="微软雅黑" w:eastAsia="微软雅黑" w:cs="微软雅黑"/>
          <w:b/>
          <w:color w:val="000000"/>
          <w:sz w:val="28"/>
          <w:szCs w:val="28"/>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附件5</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pPr>
        <w:adjustRightInd w:val="0"/>
        <w:snapToGrid w:val="0"/>
        <w:jc w:val="center"/>
        <w:rPr>
          <w:rFonts w:ascii="宋体" w:hAnsi="宋体" w:cs="宋体"/>
          <w:b/>
          <w:sz w:val="30"/>
          <w:szCs w:val="30"/>
        </w:rPr>
      </w:pPr>
      <w:r>
        <w:rPr>
          <w:rFonts w:hint="eastAsia" w:ascii="宋体" w:hAnsi="宋体" w:cs="宋体"/>
          <w:b/>
          <w:sz w:val="30"/>
          <w:szCs w:val="30"/>
        </w:rPr>
        <w:t>服务方案说明</w:t>
      </w:r>
    </w:p>
    <w:p>
      <w:pPr>
        <w:adjustRightInd w:val="0"/>
        <w:snapToGrid w:val="0"/>
        <w:rPr>
          <w:rFonts w:ascii="宋体" w:hAnsi="宋体" w:cs="宋体"/>
          <w:szCs w:val="21"/>
        </w:rPr>
      </w:pPr>
    </w:p>
    <w:tbl>
      <w:tblPr>
        <w:tblStyle w:val="1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pPr>
              <w:spacing w:line="520" w:lineRule="exact"/>
              <w:ind w:firstLine="481"/>
              <w:jc w:val="center"/>
              <w:rPr>
                <w:rFonts w:ascii="宋体" w:hAnsi="宋体" w:cs="宋体"/>
                <w:szCs w:val="21"/>
              </w:rPr>
            </w:pPr>
            <w:r>
              <w:rPr>
                <w:rFonts w:hint="eastAsia" w:ascii="宋体" w:hAnsi="宋体" w:cs="宋体"/>
                <w:szCs w:val="21"/>
              </w:rPr>
              <w:t>格式自拟。</w:t>
            </w:r>
          </w:p>
          <w:p>
            <w:pPr>
              <w:spacing w:line="520" w:lineRule="exact"/>
              <w:ind w:firstLine="480"/>
              <w:rPr>
                <w:rFonts w:ascii="宋体" w:hAnsi="宋体" w:cs="宋体"/>
                <w:szCs w:val="21"/>
              </w:rPr>
            </w:pPr>
          </w:p>
        </w:tc>
      </w:tr>
    </w:tbl>
    <w:p>
      <w:pPr>
        <w:adjustRightInd w:val="0"/>
        <w:snapToGrid w:val="0"/>
        <w:spacing w:line="360" w:lineRule="auto"/>
        <w:ind w:firstLine="420" w:firstLineChars="200"/>
        <w:rPr>
          <w:rFonts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ind w:right="23" w:rightChars="11"/>
        <w:rPr>
          <w:rFonts w:ascii="宋体" w:hAnsi="宋体" w:cs="宋体"/>
          <w:color w:val="000000"/>
        </w:rPr>
      </w:pP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360" w:lineRule="auto"/>
        <w:ind w:right="23" w:rightChars="11" w:firstLine="480" w:firstLineChars="200"/>
        <w:rPr>
          <w:rFonts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pStyle w:val="17"/>
        <w:tabs>
          <w:tab w:val="left" w:pos="3420"/>
        </w:tabs>
        <w:rPr>
          <w:rFonts w:ascii="宋体" w:hAnsi="宋体"/>
          <w:bCs/>
          <w:szCs w:val="21"/>
        </w:rPr>
      </w:pPr>
    </w:p>
    <w:p>
      <w:pPr>
        <w:pStyle w:val="5"/>
        <w:rPr>
          <w:rFonts w:ascii="宋体" w:hAnsi="宋体"/>
          <w:bCs/>
          <w:color w:val="000000"/>
          <w:szCs w:val="21"/>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宋体" w:hAnsi="宋体" w:cs="宋体"/>
          <w:b/>
          <w:bCs/>
          <w:sz w:val="28"/>
          <w:szCs w:val="28"/>
        </w:rPr>
      </w:pPr>
      <w:r>
        <w:rPr>
          <w:rFonts w:hint="eastAsia" w:ascii="黑体" w:hAnsi="黑体" w:eastAsia="黑体" w:cs="黑体"/>
          <w:b/>
          <w:color w:val="000000"/>
          <w:sz w:val="24"/>
        </w:rPr>
        <w:t>附件6 比选投标单位基本情况</w:t>
      </w:r>
    </w:p>
    <w:tbl>
      <w:tblPr>
        <w:tblStyle w:val="18"/>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pPr>
              <w:spacing w:line="360" w:lineRule="auto"/>
              <w:ind w:firstLine="640" w:firstLineChars="200"/>
              <w:rPr>
                <w:rFonts w:ascii="仿宋_GB2312" w:eastAsia="仿宋_GB2312"/>
                <w:sz w:val="32"/>
                <w:szCs w:val="32"/>
              </w:rPr>
            </w:pPr>
          </w:p>
        </w:tc>
      </w:tr>
    </w:tbl>
    <w:p>
      <w:pPr>
        <w:spacing w:line="360" w:lineRule="auto"/>
        <w:ind w:firstLine="640" w:firstLineChars="200"/>
        <w:rPr>
          <w:rFonts w:ascii="仿宋_GB2312" w:eastAsia="仿宋_GB2312"/>
          <w:sz w:val="32"/>
          <w:szCs w:val="32"/>
        </w:rPr>
      </w:pPr>
    </w:p>
    <w:p>
      <w:pPr>
        <w:spacing w:line="360" w:lineRule="auto"/>
        <w:ind w:firstLine="480" w:firstLineChars="200"/>
        <w:rPr>
          <w:rFonts w:ascii="宋体" w:hAnsi="宋体" w:cs="宋体"/>
          <w:sz w:val="24"/>
        </w:rPr>
      </w:pPr>
      <w:r>
        <w:rPr>
          <w:rFonts w:hint="eastAsia" w:ascii="宋体" w:hAnsi="宋体" w:cs="宋体"/>
          <w:sz w:val="24"/>
        </w:rPr>
        <w:t>比选投标单位法定代表人或被授权人（签字）：</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比选投标单位（盖章）：</w:t>
      </w:r>
    </w:p>
    <w:p>
      <w:pPr>
        <w:spacing w:line="360" w:lineRule="auto"/>
        <w:ind w:firstLine="480" w:firstLineChars="200"/>
        <w:rPr>
          <w:rFonts w:ascii="宋体" w:hAnsi="宋体" w:cs="宋体"/>
          <w:sz w:val="24"/>
        </w:rPr>
      </w:pPr>
      <w:r>
        <w:rPr>
          <w:rFonts w:hint="eastAsia" w:ascii="宋体" w:hAnsi="宋体" w:cs="宋体"/>
          <w:sz w:val="24"/>
        </w:rPr>
        <w:t xml:space="preserve">                                      年    月    日</w:t>
      </w:r>
    </w:p>
    <w:p>
      <w:pPr>
        <w:spacing w:line="360" w:lineRule="auto"/>
        <w:ind w:firstLine="480" w:firstLineChars="200"/>
        <w:rPr>
          <w:rFonts w:ascii="仿宋_GB2312" w:eastAsia="仿宋_GB2312"/>
          <w:sz w:val="24"/>
        </w:rPr>
      </w:pPr>
    </w:p>
    <w:p>
      <w:pPr>
        <w:pStyle w:val="5"/>
        <w:rPr>
          <w:rFonts w:hAnsi="黑体" w:cs="黑体"/>
          <w:b/>
          <w:color w:val="000000"/>
          <w:sz w:val="24"/>
        </w:rPr>
      </w:pPr>
    </w:p>
    <w:p>
      <w:pPr>
        <w:pStyle w:val="5"/>
        <w:rPr>
          <w:rFonts w:hAnsi="黑体" w:cs="黑体"/>
          <w:b/>
          <w:color w:val="000000"/>
          <w:sz w:val="24"/>
        </w:rPr>
      </w:pPr>
    </w:p>
    <w:p>
      <w:pPr>
        <w:pStyle w:val="5"/>
        <w:rPr>
          <w:rFonts w:hAnsi="黑体" w:cs="黑体"/>
          <w:b/>
          <w:color w:val="000000"/>
          <w:sz w:val="24"/>
        </w:rPr>
      </w:pPr>
    </w:p>
    <w:p/>
    <w:p>
      <w:pPr>
        <w:spacing w:line="500" w:lineRule="exact"/>
        <w:ind w:firstLine="482" w:firstLineChars="200"/>
        <w:rPr>
          <w:rFonts w:ascii="宋体" w:hAnsi="宋体" w:cs="宋体"/>
          <w:sz w:val="24"/>
        </w:rPr>
      </w:pPr>
      <w:r>
        <w:rPr>
          <w:rFonts w:hint="eastAsia" w:ascii="宋体" w:hAnsi="宋体" w:cs="宋体"/>
          <w:b/>
          <w:sz w:val="24"/>
        </w:rPr>
        <w:t>九、比选投标须知</w:t>
      </w:r>
    </w:p>
    <w:p>
      <w:pPr>
        <w:spacing w:line="360" w:lineRule="auto"/>
        <w:ind w:firstLine="480" w:firstLineChars="200"/>
        <w:rPr>
          <w:rFonts w:ascii="宋体" w:hAnsi="宋体" w:cs="宋体"/>
          <w:sz w:val="24"/>
        </w:rPr>
      </w:pPr>
      <w:r>
        <w:rPr>
          <w:rFonts w:hint="eastAsia" w:ascii="宋体" w:hAnsi="宋体" w:cs="宋体"/>
          <w:sz w:val="24"/>
        </w:rPr>
        <w:t>（1）投标费用</w:t>
      </w:r>
    </w:p>
    <w:p>
      <w:pPr>
        <w:spacing w:line="360" w:lineRule="auto"/>
        <w:ind w:firstLine="480" w:firstLineChars="200"/>
        <w:rPr>
          <w:rFonts w:ascii="宋体" w:hAnsi="宋体" w:cs="宋体"/>
          <w:sz w:val="24"/>
        </w:rPr>
      </w:pPr>
      <w:r>
        <w:rPr>
          <w:rFonts w:hint="eastAsia" w:ascii="宋体" w:hAnsi="宋体" w:cs="宋体"/>
          <w:sz w:val="24"/>
        </w:rPr>
        <w:t>投标人参加比选项目所产生的一切费用，不论其结果如何，概由投标人自理。</w:t>
      </w:r>
    </w:p>
    <w:p>
      <w:pPr>
        <w:spacing w:line="360" w:lineRule="auto"/>
        <w:ind w:firstLine="480" w:firstLineChars="200"/>
        <w:rPr>
          <w:rFonts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pPr>
        <w:spacing w:line="360" w:lineRule="auto"/>
        <w:ind w:firstLine="480" w:firstLineChars="200"/>
        <w:rPr>
          <w:rFonts w:ascii="宋体" w:hAnsi="宋体" w:cs="宋体"/>
          <w:sz w:val="24"/>
        </w:rPr>
      </w:pPr>
      <w:r>
        <w:rPr>
          <w:rFonts w:hint="eastAsia" w:ascii="宋体" w:hAnsi="宋体" w:cs="宋体"/>
          <w:sz w:val="24"/>
        </w:rPr>
        <w:t>（3）比选文件的解释和澄清</w:t>
      </w:r>
    </w:p>
    <w:p>
      <w:pPr>
        <w:spacing w:line="360" w:lineRule="auto"/>
        <w:ind w:firstLine="480" w:firstLineChars="200"/>
        <w:rPr>
          <w:rFonts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pPr>
        <w:spacing w:line="360" w:lineRule="auto"/>
        <w:ind w:firstLine="482" w:firstLineChars="200"/>
        <w:rPr>
          <w:rFonts w:ascii="宋体" w:hAnsi="宋体" w:cs="宋体"/>
          <w:b/>
          <w:bCs/>
          <w:sz w:val="24"/>
        </w:rPr>
      </w:pPr>
      <w:r>
        <w:rPr>
          <w:rFonts w:hint="eastAsia" w:ascii="宋体" w:hAnsi="宋体" w:cs="宋体"/>
          <w:b/>
          <w:bCs/>
          <w:sz w:val="24"/>
        </w:rPr>
        <w:t>十、投标纪律</w:t>
      </w:r>
    </w:p>
    <w:p>
      <w:pPr>
        <w:spacing w:line="360" w:lineRule="auto"/>
        <w:ind w:firstLine="480" w:firstLineChars="200"/>
        <w:rPr>
          <w:rFonts w:ascii="宋体" w:hAnsi="宋体" w:cs="宋体"/>
          <w:sz w:val="24"/>
        </w:rPr>
      </w:pPr>
      <w:r>
        <w:rPr>
          <w:rFonts w:hint="eastAsia" w:ascii="宋体" w:hAnsi="宋体" w:cs="宋体"/>
          <w:sz w:val="24"/>
        </w:rPr>
        <w:t>1、投标单位不得对招标单位、评标人员施加任何影响，否则将取消其投标资格；</w:t>
      </w:r>
    </w:p>
    <w:p>
      <w:pPr>
        <w:spacing w:line="360" w:lineRule="auto"/>
        <w:ind w:firstLine="480" w:firstLineChars="200"/>
        <w:rPr>
          <w:rFonts w:ascii="宋体" w:hAnsi="宋体" w:cs="宋体"/>
          <w:sz w:val="24"/>
        </w:rPr>
      </w:pPr>
      <w:r>
        <w:rPr>
          <w:rFonts w:hint="eastAsia" w:ascii="宋体" w:hAnsi="宋体" w:cs="宋体"/>
          <w:sz w:val="24"/>
        </w:rPr>
        <w:t>2、投标单位不得以挂靠单位、转让证件等形式参与投标，否则其投标无效；</w:t>
      </w:r>
    </w:p>
    <w:p>
      <w:pPr>
        <w:spacing w:line="360" w:lineRule="auto"/>
        <w:ind w:firstLine="480" w:firstLineChars="200"/>
        <w:rPr>
          <w:rFonts w:ascii="宋体" w:hAnsi="宋体" w:cs="宋体"/>
          <w:sz w:val="24"/>
        </w:rPr>
      </w:pPr>
      <w:r>
        <w:rPr>
          <w:rFonts w:hint="eastAsia" w:ascii="宋体" w:hAnsi="宋体" w:cs="宋体"/>
          <w:sz w:val="24"/>
        </w:rPr>
        <w:t>3、投标单位中标后未经招标人书面同意，转让招标代理业务的，将取消其中标资格；</w:t>
      </w:r>
    </w:p>
    <w:p>
      <w:pPr>
        <w:spacing w:line="360" w:lineRule="auto"/>
        <w:ind w:firstLine="480" w:firstLineChars="200"/>
        <w:rPr>
          <w:rFonts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pPr>
        <w:spacing w:line="360" w:lineRule="auto"/>
        <w:ind w:firstLine="480" w:firstLineChars="200"/>
        <w:rPr>
          <w:rFonts w:ascii="宋体" w:hAnsi="宋体" w:cs="宋体"/>
          <w:sz w:val="24"/>
        </w:rPr>
      </w:pPr>
      <w:r>
        <w:rPr>
          <w:rFonts w:hint="eastAsia" w:ascii="宋体" w:hAnsi="宋体" w:cs="宋体"/>
          <w:sz w:val="24"/>
        </w:rPr>
        <w:t>5、投标书中的一切证明、证件必须真实可靠，否则取消其投标资格；</w:t>
      </w:r>
    </w:p>
    <w:p>
      <w:pPr>
        <w:spacing w:line="360" w:lineRule="auto"/>
        <w:ind w:firstLine="480" w:firstLineChars="200"/>
        <w:rPr>
          <w:rFonts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11" w:name="OLE_LINK1"/>
      <w:r>
        <w:rPr>
          <w:rFonts w:hint="eastAsia" w:ascii="宋体" w:hAnsi="宋体" w:cs="宋体"/>
          <w:sz w:val="24"/>
        </w:rPr>
        <w:t>盖投标单位公章</w:t>
      </w:r>
      <w:bookmarkEnd w:id="11"/>
      <w:r>
        <w:rPr>
          <w:rFonts w:hint="eastAsia" w:ascii="宋体" w:hAnsi="宋体" w:cs="宋体"/>
          <w:sz w:val="24"/>
        </w:rPr>
        <w:t>的授权委托书、委托代理人身份证。</w:t>
      </w:r>
    </w:p>
    <w:p>
      <w:pPr>
        <w:spacing w:line="360" w:lineRule="auto"/>
        <w:ind w:firstLine="482" w:firstLineChars="200"/>
        <w:rPr>
          <w:rFonts w:ascii="宋体" w:hAnsi="宋体" w:cs="宋体"/>
          <w:b/>
          <w:bCs/>
          <w:sz w:val="24"/>
        </w:rPr>
      </w:pPr>
      <w:r>
        <w:rPr>
          <w:rFonts w:hint="eastAsia" w:ascii="宋体" w:hAnsi="宋体" w:cs="宋体"/>
          <w:b/>
          <w:bCs/>
          <w:sz w:val="24"/>
        </w:rPr>
        <w:t>十一、比选投标文件的编制要求</w:t>
      </w:r>
    </w:p>
    <w:p>
      <w:pPr>
        <w:spacing w:line="360" w:lineRule="auto"/>
        <w:ind w:firstLine="480" w:firstLineChars="200"/>
        <w:rPr>
          <w:rFonts w:ascii="宋体" w:hAnsi="宋体" w:cs="宋体"/>
          <w:sz w:val="24"/>
        </w:rPr>
      </w:pPr>
      <w:r>
        <w:rPr>
          <w:rFonts w:hint="eastAsia" w:ascii="宋体" w:hAnsi="宋体" w:cs="宋体"/>
          <w:sz w:val="24"/>
        </w:rPr>
        <w:t>比选投标文件的组成。投标文件包括商务标和技术标两部分，商务标和技术标可装订为一本。</w:t>
      </w:r>
    </w:p>
    <w:p>
      <w:pPr>
        <w:spacing w:line="360" w:lineRule="auto"/>
        <w:ind w:firstLine="480" w:firstLineChars="200"/>
        <w:rPr>
          <w:rFonts w:ascii="宋体" w:hAnsi="宋体" w:cs="宋体"/>
          <w:sz w:val="24"/>
        </w:rPr>
      </w:pPr>
      <w:r>
        <w:rPr>
          <w:rFonts w:hint="eastAsia" w:ascii="宋体" w:hAnsi="宋体" w:cs="宋体"/>
          <w:sz w:val="24"/>
        </w:rPr>
        <w:t>（一）商务标部份应包括下列内容：</w:t>
      </w:r>
    </w:p>
    <w:p>
      <w:pPr>
        <w:spacing w:line="360" w:lineRule="auto"/>
        <w:ind w:firstLine="480" w:firstLineChars="200"/>
        <w:rPr>
          <w:rFonts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pPr>
        <w:spacing w:line="360" w:lineRule="auto"/>
        <w:ind w:firstLine="480" w:firstLineChars="200"/>
        <w:rPr>
          <w:rFonts w:ascii="宋体" w:hAnsi="宋体" w:cs="宋体"/>
          <w:sz w:val="24"/>
        </w:rPr>
      </w:pPr>
      <w:r>
        <w:rPr>
          <w:rFonts w:hint="eastAsia" w:ascii="宋体" w:hAnsi="宋体" w:cs="宋体"/>
          <w:sz w:val="24"/>
        </w:rPr>
        <w:t>2、服务承诺书；</w:t>
      </w:r>
    </w:p>
    <w:p>
      <w:pPr>
        <w:pStyle w:val="5"/>
      </w:pPr>
      <w:r>
        <w:rPr>
          <w:rFonts w:hint="eastAsia" w:ascii="宋体" w:hAnsi="宋体" w:eastAsia="宋体" w:cs="宋体"/>
          <w:kern w:val="2"/>
          <w:sz w:val="24"/>
          <w:szCs w:val="24"/>
        </w:rPr>
        <w:t xml:space="preserve">    3、服务方案；</w:t>
      </w:r>
    </w:p>
    <w:p>
      <w:pPr>
        <w:spacing w:line="360" w:lineRule="auto"/>
        <w:ind w:firstLine="480" w:firstLineChars="200"/>
        <w:rPr>
          <w:rFonts w:ascii="宋体" w:hAnsi="宋体" w:cs="宋体"/>
          <w:sz w:val="24"/>
        </w:rPr>
      </w:pPr>
      <w:r>
        <w:rPr>
          <w:rFonts w:hint="eastAsia" w:ascii="宋体" w:hAnsi="宋体" w:cs="宋体"/>
          <w:sz w:val="24"/>
        </w:rPr>
        <w:t>4、比选投标单位基本情况；</w:t>
      </w:r>
    </w:p>
    <w:p>
      <w:pPr>
        <w:spacing w:line="360" w:lineRule="auto"/>
        <w:ind w:firstLine="480" w:firstLineChars="200"/>
        <w:rPr>
          <w:rFonts w:ascii="宋体" w:hAnsi="宋体" w:cs="宋体"/>
          <w:sz w:val="24"/>
        </w:rPr>
      </w:pPr>
      <w:r>
        <w:rPr>
          <w:rFonts w:hint="eastAsia" w:ascii="宋体" w:hAnsi="宋体" w:cs="宋体"/>
          <w:sz w:val="24"/>
        </w:rPr>
        <w:t>5、比选投标单位近三年来成功案例业绩证明资料；</w:t>
      </w:r>
    </w:p>
    <w:p>
      <w:pPr>
        <w:spacing w:line="360" w:lineRule="auto"/>
        <w:ind w:firstLine="480" w:firstLineChars="200"/>
        <w:rPr>
          <w:rFonts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pPr>
        <w:spacing w:line="360" w:lineRule="auto"/>
        <w:ind w:firstLine="480" w:firstLineChars="200"/>
        <w:rPr>
          <w:rFonts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pPr>
        <w:spacing w:line="360" w:lineRule="auto"/>
        <w:ind w:firstLine="480" w:firstLineChars="200"/>
        <w:rPr>
          <w:rFonts w:ascii="宋体" w:hAnsi="宋体" w:cs="宋体"/>
          <w:sz w:val="24"/>
        </w:rPr>
      </w:pPr>
      <w:r>
        <w:rPr>
          <w:rFonts w:hint="eastAsia" w:ascii="宋体" w:hAnsi="宋体" w:cs="宋体"/>
          <w:sz w:val="24"/>
        </w:rPr>
        <w:t>8、特定资格证明文件；</w:t>
      </w:r>
    </w:p>
    <w:p>
      <w:pPr>
        <w:spacing w:line="360" w:lineRule="auto"/>
        <w:ind w:firstLine="480" w:firstLineChars="200"/>
        <w:rPr>
          <w:rFonts w:ascii="宋体" w:hAnsi="宋体" w:cs="宋体"/>
          <w:sz w:val="24"/>
        </w:rPr>
      </w:pPr>
      <w:r>
        <w:rPr>
          <w:rFonts w:hint="eastAsia" w:ascii="宋体" w:hAnsi="宋体" w:cs="宋体"/>
          <w:sz w:val="24"/>
        </w:rPr>
        <w:t>9、投标单位认为需要提供的其他资料文件。</w:t>
      </w:r>
    </w:p>
    <w:p>
      <w:pPr>
        <w:spacing w:line="360" w:lineRule="auto"/>
        <w:ind w:firstLine="480" w:firstLineChars="200"/>
        <w:rPr>
          <w:rFonts w:ascii="宋体" w:hAnsi="宋体" w:cs="宋体"/>
          <w:sz w:val="24"/>
        </w:rPr>
      </w:pPr>
      <w:r>
        <w:rPr>
          <w:rFonts w:hint="eastAsia" w:ascii="宋体" w:hAnsi="宋体" w:cs="宋体"/>
          <w:sz w:val="24"/>
        </w:rPr>
        <w:t>（二）技术部分由投标单位自行编制。</w:t>
      </w:r>
    </w:p>
    <w:p>
      <w:pPr>
        <w:spacing w:line="360" w:lineRule="auto"/>
        <w:ind w:firstLine="480" w:firstLineChars="200"/>
        <w:rPr>
          <w:rFonts w:ascii="宋体" w:hAnsi="宋体" w:cs="宋体"/>
          <w:sz w:val="24"/>
        </w:rPr>
      </w:pPr>
      <w:r>
        <w:rPr>
          <w:rFonts w:hint="eastAsia" w:ascii="宋体" w:hAnsi="宋体" w:cs="宋体"/>
          <w:sz w:val="24"/>
        </w:rPr>
        <w:t>注：各比选</w:t>
      </w:r>
      <w:bookmarkStart w:id="12" w:name="OLE_LINK3"/>
      <w:r>
        <w:rPr>
          <w:rFonts w:hint="eastAsia" w:ascii="宋体" w:hAnsi="宋体" w:cs="宋体"/>
          <w:sz w:val="24"/>
        </w:rPr>
        <w:t>投标单位</w:t>
      </w:r>
      <w:bookmarkEnd w:id="12"/>
      <w:r>
        <w:rPr>
          <w:rFonts w:hint="eastAsia" w:ascii="宋体" w:hAnsi="宋体" w:cs="宋体"/>
          <w:sz w:val="24"/>
        </w:rPr>
        <w:t>应保证上述资料的真实、可靠，如提供的资料和数据出现弄虚作假的情况即取消比选资格或中标候选人资格。</w:t>
      </w:r>
    </w:p>
    <w:p>
      <w:pPr>
        <w:spacing w:line="360" w:lineRule="auto"/>
        <w:ind w:firstLine="482" w:firstLineChars="200"/>
        <w:rPr>
          <w:rFonts w:ascii="宋体" w:hAnsi="宋体" w:cs="宋体"/>
          <w:b/>
          <w:bCs/>
          <w:sz w:val="24"/>
        </w:rPr>
      </w:pPr>
      <w:r>
        <w:rPr>
          <w:rFonts w:hint="eastAsia" w:ascii="宋体" w:hAnsi="宋体" w:cs="宋体"/>
          <w:b/>
          <w:bCs/>
          <w:sz w:val="24"/>
        </w:rPr>
        <w:t>十二、比选投标文件的份数与签署</w:t>
      </w:r>
    </w:p>
    <w:p>
      <w:pPr>
        <w:spacing w:line="360" w:lineRule="auto"/>
        <w:ind w:firstLine="480" w:firstLineChars="200"/>
        <w:rPr>
          <w:rFonts w:ascii="宋体" w:hAnsi="宋体" w:cs="宋体"/>
          <w:sz w:val="24"/>
        </w:rPr>
      </w:pPr>
      <w:r>
        <w:rPr>
          <w:rFonts w:hint="eastAsia" w:ascii="宋体" w:hAnsi="宋体" w:cs="宋体"/>
          <w:sz w:val="24"/>
        </w:rPr>
        <w:t>（1）比选投标文件一正</w:t>
      </w:r>
      <w:r>
        <w:rPr>
          <w:rFonts w:hint="eastAsia" w:ascii="宋体" w:hAnsi="宋体" w:cs="宋体"/>
          <w:sz w:val="24"/>
          <w:lang w:val="en-US" w:eastAsia="zh-CN"/>
        </w:rPr>
        <w:t>二</w:t>
      </w:r>
      <w:r>
        <w:rPr>
          <w:rFonts w:hint="eastAsia" w:ascii="宋体" w:hAnsi="宋体" w:cs="宋体"/>
          <w:sz w:val="24"/>
        </w:rPr>
        <w:t>副，字迹应清晰易于辨认,并清楚地注明“正本”或“副本”，正本的签署应完好无缺；正本和副本如有不一致之处，以正本为准；如未注明“正本”或“副本”，且投标文件中实质性内容表述不一致的，则视为不合格投标人。</w:t>
      </w:r>
    </w:p>
    <w:p>
      <w:pPr>
        <w:spacing w:line="360" w:lineRule="auto"/>
        <w:ind w:firstLine="480" w:firstLineChars="200"/>
        <w:rPr>
          <w:rFonts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pPr>
        <w:spacing w:line="360" w:lineRule="auto"/>
        <w:ind w:firstLine="480" w:firstLineChars="200"/>
        <w:rPr>
          <w:rFonts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pPr>
        <w:spacing w:line="360" w:lineRule="auto"/>
        <w:ind w:firstLine="480" w:firstLineChars="200"/>
        <w:rPr>
          <w:rFonts w:ascii="宋体" w:hAnsi="宋体" w:cs="宋体"/>
          <w:sz w:val="24"/>
        </w:rPr>
      </w:pPr>
      <w:r>
        <w:rPr>
          <w:rFonts w:hint="eastAsia" w:ascii="宋体" w:hAnsi="宋体" w:cs="宋体"/>
          <w:sz w:val="24"/>
        </w:rPr>
        <w:t>(4)电报、电话或传真形式的投标，招标人概不接受。</w:t>
      </w:r>
    </w:p>
    <w:p>
      <w:pPr>
        <w:spacing w:line="360" w:lineRule="auto"/>
        <w:ind w:firstLine="482" w:firstLineChars="200"/>
        <w:rPr>
          <w:rFonts w:ascii="宋体" w:hAnsi="宋体" w:cs="宋体"/>
          <w:b/>
          <w:bCs/>
          <w:sz w:val="24"/>
        </w:rPr>
      </w:pPr>
      <w:r>
        <w:rPr>
          <w:rFonts w:hint="eastAsia" w:ascii="宋体" w:hAnsi="宋体" w:cs="宋体"/>
          <w:b/>
          <w:bCs/>
          <w:sz w:val="24"/>
        </w:rPr>
        <w:t>十三、投标文件的密封与递交</w:t>
      </w:r>
    </w:p>
    <w:p>
      <w:pPr>
        <w:spacing w:line="360" w:lineRule="auto"/>
        <w:ind w:firstLine="480" w:firstLineChars="200"/>
        <w:rPr>
          <w:rFonts w:ascii="宋体" w:hAnsi="宋体" w:cs="宋体"/>
          <w:sz w:val="24"/>
        </w:rPr>
      </w:pPr>
      <w:r>
        <w:rPr>
          <w:rFonts w:hint="eastAsia" w:ascii="宋体" w:hAnsi="宋体" w:cs="宋体"/>
          <w:sz w:val="24"/>
        </w:rPr>
        <w:t>(1)投标文件的装订密封和标记</w:t>
      </w:r>
    </w:p>
    <w:p>
      <w:pPr>
        <w:spacing w:line="360" w:lineRule="auto"/>
        <w:ind w:firstLine="480" w:firstLineChars="200"/>
        <w:rPr>
          <w:rFonts w:ascii="宋体" w:hAnsi="宋体" w:cs="宋体"/>
          <w:sz w:val="24"/>
        </w:rPr>
      </w:pPr>
      <w:r>
        <w:rPr>
          <w:rFonts w:hint="eastAsia" w:ascii="宋体" w:hAnsi="宋体" w:cs="宋体"/>
          <w:sz w:val="24"/>
        </w:rPr>
        <w:t>投标人应将投标文件密封包装。</w:t>
      </w:r>
    </w:p>
    <w:p>
      <w:pPr>
        <w:spacing w:line="360" w:lineRule="auto"/>
        <w:ind w:firstLine="480" w:firstLineChars="200"/>
        <w:rPr>
          <w:rFonts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pPr>
        <w:spacing w:line="360" w:lineRule="auto"/>
        <w:ind w:firstLine="480" w:firstLineChars="200"/>
        <w:rPr>
          <w:rFonts w:ascii="宋体" w:hAnsi="宋体" w:cs="宋体"/>
          <w:sz w:val="24"/>
        </w:rPr>
      </w:pPr>
      <w:r>
        <w:rPr>
          <w:rFonts w:hint="eastAsia" w:ascii="宋体" w:hAnsi="宋体" w:cs="宋体"/>
          <w:sz w:val="24"/>
        </w:rPr>
        <w:t>投标书未按上述规定密封的视为无效投标书。</w:t>
      </w:r>
    </w:p>
    <w:p>
      <w:pPr>
        <w:spacing w:line="360" w:lineRule="auto"/>
        <w:ind w:firstLine="480" w:firstLineChars="200"/>
        <w:rPr>
          <w:rFonts w:ascii="宋体" w:hAnsi="宋体" w:cs="宋体"/>
          <w:sz w:val="24"/>
        </w:rPr>
      </w:pPr>
      <w:r>
        <w:rPr>
          <w:rFonts w:hint="eastAsia" w:ascii="宋体" w:hAnsi="宋体" w:cs="宋体"/>
          <w:sz w:val="24"/>
          <w:highlight w:val="green"/>
        </w:rPr>
        <w:t>同时递交一份资质证明文件。</w:t>
      </w:r>
    </w:p>
    <w:p>
      <w:pPr>
        <w:spacing w:line="360" w:lineRule="auto"/>
        <w:ind w:firstLine="480" w:firstLineChars="200"/>
        <w:rPr>
          <w:rFonts w:ascii="宋体" w:hAnsi="宋体" w:cs="宋体"/>
          <w:sz w:val="24"/>
        </w:rPr>
      </w:pPr>
      <w:r>
        <w:rPr>
          <w:rFonts w:hint="eastAsia" w:ascii="宋体" w:hAnsi="宋体" w:cs="宋体"/>
          <w:sz w:val="24"/>
        </w:rPr>
        <w:t>(2)投标文件的递交</w:t>
      </w:r>
    </w:p>
    <w:p>
      <w:pPr>
        <w:spacing w:line="360" w:lineRule="auto"/>
        <w:ind w:firstLine="480" w:firstLineChars="200"/>
        <w:rPr>
          <w:rFonts w:ascii="宋体" w:hAnsi="宋体" w:cs="宋体"/>
          <w:sz w:val="24"/>
        </w:rPr>
      </w:pPr>
      <w:r>
        <w:rPr>
          <w:rFonts w:hint="eastAsia" w:ascii="宋体" w:hAnsi="宋体" w:cs="宋体"/>
          <w:sz w:val="24"/>
        </w:rPr>
        <w:t>各投标人的投标书由专人于规定的投标截止时间之前送至湖南化工职业技术学院行政楼</w:t>
      </w:r>
      <w:r>
        <w:rPr>
          <w:rFonts w:ascii="宋体" w:hAnsi="宋体" w:cs="宋体"/>
          <w:sz w:val="24"/>
        </w:rPr>
        <w:t>1</w:t>
      </w:r>
      <w:r>
        <w:rPr>
          <w:rFonts w:hint="eastAsia" w:ascii="宋体" w:hAnsi="宋体" w:cs="宋体"/>
          <w:sz w:val="24"/>
          <w:lang w:val="en-US" w:eastAsia="zh-CN"/>
        </w:rPr>
        <w:t>09</w:t>
      </w:r>
      <w:r>
        <w:rPr>
          <w:rFonts w:hint="eastAsia" w:ascii="宋体" w:hAnsi="宋体" w:cs="宋体"/>
          <w:sz w:val="24"/>
        </w:rPr>
        <w:t>会议室，由工作人员登记。投标时间截止后，逾期送达的投标书将被招标单位拒收，其投标书为无效投标书。</w:t>
      </w:r>
    </w:p>
    <w:p>
      <w:pPr>
        <w:spacing w:before="156" w:beforeLines="50" w:after="156" w:afterLines="50" w:line="360" w:lineRule="auto"/>
        <w:ind w:firstLine="482" w:firstLineChars="200"/>
        <w:rPr>
          <w:rFonts w:ascii="宋体" w:hAnsi="宋体" w:cs="宋体"/>
          <w:b/>
          <w:sz w:val="24"/>
        </w:rPr>
      </w:pPr>
      <w:r>
        <w:rPr>
          <w:rFonts w:hint="eastAsia" w:ascii="宋体" w:hAnsi="宋体" w:cs="宋体"/>
          <w:b/>
          <w:sz w:val="24"/>
        </w:rPr>
        <w:t>十四、评标办法和选取确认方式</w:t>
      </w:r>
    </w:p>
    <w:p>
      <w:pPr>
        <w:spacing w:line="360" w:lineRule="auto"/>
        <w:ind w:firstLine="480" w:firstLineChars="200"/>
        <w:rPr>
          <w:rFonts w:ascii="宋体" w:hAnsi="宋体" w:cs="宋体"/>
          <w:sz w:val="24"/>
        </w:rPr>
      </w:pPr>
      <w:r>
        <w:rPr>
          <w:rFonts w:hint="eastAsia" w:ascii="宋体" w:hAnsi="宋体" w:cs="宋体"/>
          <w:sz w:val="24"/>
        </w:rPr>
        <w:t>1、比选评分标准</w:t>
      </w:r>
    </w:p>
    <w:p>
      <w:pPr>
        <w:spacing w:line="360" w:lineRule="auto"/>
        <w:ind w:firstLine="480" w:firstLineChars="200"/>
        <w:rPr>
          <w:rFonts w:ascii="宋体" w:hAnsi="宋体" w:cs="宋体"/>
          <w:sz w:val="24"/>
        </w:rPr>
      </w:pPr>
      <w:r>
        <w:rPr>
          <w:rFonts w:hint="eastAsia" w:ascii="宋体" w:hAnsi="宋体" w:cs="宋体"/>
          <w:sz w:val="24"/>
        </w:rPr>
        <w:t>对参与比选的投标人进行资格审查后，按比选评分标准对各投标人进行打分，综合得分排名前1名的投标人获得本次比选的中标资格，比选评分标准附后。</w:t>
      </w:r>
    </w:p>
    <w:p>
      <w:pPr>
        <w:pStyle w:val="7"/>
        <w:spacing w:after="0"/>
        <w:jc w:val="center"/>
        <w:rPr>
          <w:rFonts w:ascii="仿宋" w:hAnsi="仿宋" w:eastAsia="仿宋" w:cs="仿宋"/>
          <w:color w:val="FF0000"/>
          <w:sz w:val="28"/>
          <w:szCs w:val="28"/>
        </w:rPr>
      </w:pPr>
      <w:r>
        <w:rPr>
          <w:rFonts w:hint="eastAsia" w:ascii="仿宋" w:hAnsi="仿宋" w:eastAsia="仿宋" w:cs="仿宋"/>
          <w:b/>
          <w:bCs/>
          <w:sz w:val="28"/>
          <w:szCs w:val="28"/>
        </w:rPr>
        <w:t>比选</w:t>
      </w:r>
      <w:bookmarkStart w:id="13" w:name="_Hlk160818547"/>
      <w:r>
        <w:rPr>
          <w:rFonts w:hint="eastAsia" w:ascii="仿宋" w:hAnsi="仿宋" w:eastAsia="仿宋" w:cs="仿宋"/>
          <w:b/>
          <w:bCs/>
          <w:sz w:val="28"/>
          <w:szCs w:val="28"/>
        </w:rPr>
        <w:t>评分标准</w:t>
      </w:r>
      <w:bookmarkEnd w:id="13"/>
    </w:p>
    <w:tbl>
      <w:tblPr>
        <w:tblStyle w:val="18"/>
        <w:tblW w:w="10089" w:type="dxa"/>
        <w:tblInd w:w="-2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8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691" w:type="dxa"/>
            <w:vAlign w:val="center"/>
          </w:tcPr>
          <w:p>
            <w:pPr>
              <w:spacing w:line="400" w:lineRule="exact"/>
              <w:jc w:val="center"/>
              <w:rPr>
                <w:rFonts w:hAnsi="仿宋_GB2312" w:cs="仿宋_GB2312"/>
                <w:b/>
                <w:bCs/>
                <w:sz w:val="24"/>
              </w:rPr>
            </w:pPr>
            <w:r>
              <w:rPr>
                <w:rFonts w:hint="eastAsia" w:hAnsi="仿宋_GB2312" w:cs="仿宋_GB2312"/>
                <w:b/>
                <w:bCs/>
                <w:sz w:val="24"/>
              </w:rPr>
              <w:t>评分因素</w:t>
            </w:r>
          </w:p>
        </w:tc>
        <w:tc>
          <w:tcPr>
            <w:tcW w:w="8398" w:type="dxa"/>
            <w:vAlign w:val="center"/>
          </w:tcPr>
          <w:p>
            <w:pPr>
              <w:spacing w:line="400" w:lineRule="exact"/>
              <w:jc w:val="center"/>
              <w:rPr>
                <w:rFonts w:hAnsi="仿宋_GB2312" w:cs="仿宋_GB2312"/>
                <w:b/>
                <w:bCs/>
                <w:sz w:val="24"/>
              </w:rPr>
            </w:pPr>
            <w:r>
              <w:rPr>
                <w:rFonts w:hint="eastAsia" w:hAnsi="仿宋_GB2312" w:cs="仿宋_GB2312"/>
                <w:b/>
                <w:bCs/>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投标报价</w:t>
            </w:r>
          </w:p>
          <w:p>
            <w:pPr>
              <w:spacing w:line="400" w:lineRule="exact"/>
              <w:jc w:val="center"/>
              <w:rPr>
                <w:rFonts w:hAnsi="仿宋_GB2312" w:cs="仿宋_GB2312"/>
                <w:sz w:val="24"/>
              </w:rPr>
            </w:pPr>
            <w:r>
              <w:rPr>
                <w:rFonts w:hint="eastAsia" w:hAnsi="仿宋_GB2312" w:cs="仿宋_GB2312"/>
                <w:sz w:val="24"/>
              </w:rPr>
              <w:t>（30分）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 xml:space="preserve">以经评审满足比选文件要求且投标价格最低的投标报价（折扣率最低）为评标基准价，其价格得分计30分。其他供应商的价格得分统一按公式计算： </w:t>
            </w:r>
            <w:r>
              <w:rPr>
                <w:rFonts w:hAnsi="仿宋_GB2312" w:cs="仿宋_GB2312"/>
                <w:sz w:val="24"/>
              </w:rPr>
              <w:t xml:space="preserve"> </w:t>
            </w:r>
            <w:r>
              <w:rPr>
                <w:rFonts w:hint="eastAsia" w:hAnsi="仿宋_GB2312" w:cs="仿宋_GB2312"/>
                <w:sz w:val="24"/>
              </w:rPr>
              <w:t>投标报价得分＝（评标基准价／投标报价）×30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pStyle w:val="26"/>
              <w:rPr>
                <w:rFonts w:hAnsi="仿宋_GB2312" w:cs="仿宋_GB2312"/>
                <w:sz w:val="24"/>
              </w:rPr>
            </w:pPr>
            <w:r>
              <w:rPr>
                <w:rFonts w:hint="eastAsia" w:hAnsi="仿宋_GB2312" w:cs="仿宋_GB2312"/>
                <w:sz w:val="24"/>
              </w:rPr>
              <w:t>样品评价（1</w:t>
            </w:r>
            <w:r>
              <w:rPr>
                <w:rFonts w:hint="eastAsia" w:hAnsi="仿宋_GB2312" w:cs="仿宋_GB2312"/>
                <w:sz w:val="24"/>
                <w:lang w:val="en-US" w:eastAsia="zh-CN"/>
              </w:rPr>
              <w:t>8</w:t>
            </w:r>
            <w:r>
              <w:rPr>
                <w:rFonts w:hint="eastAsia" w:hAnsi="仿宋_GB2312" w:cs="仿宋_GB2312"/>
                <w:sz w:val="24"/>
              </w:rPr>
              <w:t>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评标委员会综合考虑各投标人样品的完整性、外观、材质、制作工艺水平、安全性、牢固性、设计合理及实用性、操作性，并结合现场情况，进行综合评分：</w:t>
            </w:r>
          </w:p>
          <w:p>
            <w:pPr>
              <w:spacing w:line="400" w:lineRule="exact"/>
              <w:jc w:val="left"/>
              <w:rPr>
                <w:rFonts w:hAnsi="仿宋_GB2312" w:cs="仿宋_GB2312"/>
                <w:sz w:val="24"/>
              </w:rPr>
            </w:pPr>
            <w:r>
              <w:rPr>
                <w:rFonts w:hint="eastAsia" w:hAnsi="仿宋_GB2312" w:cs="仿宋_GB2312"/>
                <w:sz w:val="24"/>
              </w:rPr>
              <w:t>1）样品组成完整，现场观测到的参数完全满足</w:t>
            </w:r>
            <w:r>
              <w:rPr>
                <w:rFonts w:hint="eastAsia" w:hAnsi="仿宋_GB2312" w:cs="仿宋_GB2312"/>
                <w:color w:val="000000" w:themeColor="text1"/>
                <w:sz w:val="24"/>
                <w14:textFill>
                  <w14:solidFill>
                    <w14:schemeClr w14:val="tx1"/>
                  </w14:solidFill>
                </w14:textFill>
              </w:rPr>
              <w:t>或优于</w:t>
            </w:r>
            <w:r>
              <w:rPr>
                <w:rFonts w:hint="eastAsia" w:hAnsi="仿宋_GB2312" w:cs="仿宋_GB2312"/>
                <w:sz w:val="24"/>
              </w:rPr>
              <w:t>招标文件要求，制作工艺优，材质好、外观符合要求、安全性好，设计先进、操作及实用性强，现场测试无任何问题的，计 18 分；</w:t>
            </w:r>
          </w:p>
          <w:p>
            <w:pPr>
              <w:spacing w:line="400" w:lineRule="exact"/>
              <w:jc w:val="left"/>
              <w:rPr>
                <w:rFonts w:hAnsi="仿宋_GB2312" w:cs="仿宋_GB2312"/>
                <w:sz w:val="24"/>
              </w:rPr>
            </w:pPr>
            <w:r>
              <w:rPr>
                <w:rFonts w:hint="eastAsia" w:hAnsi="仿宋_GB2312" w:cs="仿宋_GB2312"/>
                <w:sz w:val="24"/>
              </w:rPr>
              <w:t>2）样品组成完整，现场观测到的技术参数满足招标文件要求，制作工艺良好，材质较好、外观符合要求、安全性较好，设计较好、操作及实用性较强，现场测试较好的，计 12分；</w:t>
            </w:r>
          </w:p>
          <w:p>
            <w:pPr>
              <w:spacing w:line="400" w:lineRule="exact"/>
              <w:jc w:val="left"/>
              <w:rPr>
                <w:rFonts w:hAnsi="仿宋_GB2312" w:cs="仿宋_GB2312"/>
                <w:sz w:val="24"/>
              </w:rPr>
            </w:pPr>
            <w:r>
              <w:rPr>
                <w:rFonts w:hint="eastAsia" w:hAnsi="仿宋_GB2312" w:cs="仿宋_GB2312"/>
                <w:sz w:val="24"/>
              </w:rPr>
              <w:t>3）样品组成基本完整，现场观测到的技术参数基本符合招标文件要求，制作工艺一般，外观符合要求，安全性一般，设计较好、操作及实用性一般的，现场测试效果一般的，计 6分；</w:t>
            </w:r>
          </w:p>
          <w:p>
            <w:pPr>
              <w:spacing w:line="400" w:lineRule="exact"/>
              <w:jc w:val="left"/>
              <w:rPr>
                <w:rFonts w:hAnsi="仿宋_GB2312" w:cs="仿宋_GB2312"/>
                <w:sz w:val="24"/>
              </w:rPr>
            </w:pPr>
            <w:r>
              <w:rPr>
                <w:rFonts w:hint="eastAsia" w:hAnsi="仿宋_GB2312" w:cs="仿宋_GB2312"/>
                <w:sz w:val="24"/>
              </w:rPr>
              <w:t>计分说明：未提交样品或提交的样品非招标采购的产品，样品组成有重大缺陷或现场使用发生故障、无法使用的，所交样品与投标文件不符的，均计 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spacing w:line="400" w:lineRule="exact"/>
              <w:jc w:val="center"/>
              <w:rPr>
                <w:rFonts w:hAnsi="仿宋_GB2312" w:cs="仿宋_GB2312"/>
                <w:sz w:val="24"/>
              </w:rPr>
            </w:pPr>
            <w:r>
              <w:rPr>
                <w:rFonts w:hint="eastAsia" w:hAnsi="仿宋_GB2312" w:cs="仿宋_GB2312"/>
                <w:sz w:val="24"/>
              </w:rPr>
              <w:t>服务与实施方案</w:t>
            </w:r>
          </w:p>
          <w:p>
            <w:pPr>
              <w:spacing w:line="400" w:lineRule="exact"/>
              <w:jc w:val="center"/>
              <w:rPr>
                <w:rFonts w:hAnsi="仿宋_GB2312" w:cs="仿宋_GB2312"/>
                <w:sz w:val="24"/>
              </w:rPr>
            </w:pPr>
            <w:r>
              <w:rPr>
                <w:rFonts w:hint="eastAsia" w:hAnsi="仿宋_GB2312" w:cs="仿宋_GB2312"/>
                <w:sz w:val="24"/>
              </w:rPr>
              <w:t>（20分）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响应文件提供的项目服务方案（包括服务团队、服务响应时间、服务方式与内容、服务质量保证措施、项目实施计划等）进行综合评审。方案内容完整无缺项，针对项目需求的特点对每项内容进行了详细的描述，合理且具有可操作性的计20分：方案内容无缺项，但有分项没有根据项目需求的特点进行详细描述，或欠合理的，每项扣2分；方案有缺项的，每项扣4分；扣分最多扣完20分为止。未提供服务与实施方案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服务人员认证情况（</w:t>
            </w:r>
            <w:r>
              <w:rPr>
                <w:rFonts w:hint="eastAsia" w:hAnsi="仿宋_GB2312" w:cs="仿宋_GB2312"/>
                <w:sz w:val="24"/>
                <w:lang w:val="en-US" w:eastAsia="zh-CN"/>
              </w:rPr>
              <w:t>8</w:t>
            </w:r>
            <w:r>
              <w:rPr>
                <w:rFonts w:hint="eastAsia" w:hAnsi="仿宋_GB2312" w:cs="仿宋_GB2312"/>
                <w:sz w:val="24"/>
              </w:rPr>
              <w:t>分）</w:t>
            </w:r>
          </w:p>
        </w:tc>
        <w:tc>
          <w:tcPr>
            <w:tcW w:w="8398" w:type="dxa"/>
            <w:vAlign w:val="center"/>
          </w:tcPr>
          <w:p>
            <w:pPr>
              <w:spacing w:line="400" w:lineRule="exact"/>
              <w:jc w:val="left"/>
              <w:rPr>
                <w:rFonts w:hAnsi="仿宋_GB2312" w:cs="仿宋_GB2312"/>
                <w:color w:val="000000" w:themeColor="text1"/>
                <w:sz w:val="24"/>
                <w14:textFill>
                  <w14:solidFill>
                    <w14:schemeClr w14:val="tx1"/>
                  </w14:solidFill>
                </w14:textFill>
              </w:rPr>
            </w:pPr>
            <w:r>
              <w:rPr>
                <w:rFonts w:hint="eastAsia" w:hAnsi="仿宋_GB2312" w:cs="仿宋_GB2312"/>
                <w:color w:val="000000" w:themeColor="text1"/>
                <w:sz w:val="24"/>
                <w14:textFill>
                  <w14:solidFill>
                    <w14:schemeClr w14:val="tx1"/>
                  </w14:solidFill>
                </w14:textFill>
              </w:rPr>
              <w:t>投标人服务人员具有</w:t>
            </w:r>
            <w:r>
              <w:rPr>
                <w:rFonts w:hint="eastAsia" w:ascii="宋体" w:hAnsi="宋体" w:eastAsia="宋体" w:cs="宋体"/>
                <w:sz w:val="24"/>
              </w:rPr>
              <w:t>理光品牌原厂售后认证工程师资质</w:t>
            </w:r>
            <w:r>
              <w:rPr>
                <w:rFonts w:hint="eastAsia" w:hAnsi="仿宋_GB2312" w:cs="仿宋_GB2312"/>
                <w:color w:val="000000" w:themeColor="text1"/>
                <w:sz w:val="24"/>
                <w14:textFill>
                  <w14:solidFill>
                    <w14:schemeClr w14:val="tx1"/>
                  </w14:solidFill>
                </w14:textFill>
              </w:rPr>
              <w:t>的</w:t>
            </w:r>
            <w:r>
              <w:rPr>
                <w:rFonts w:hint="eastAsia" w:hAnsi="仿宋_GB2312" w:cs="仿宋_GB2312"/>
                <w:color w:val="000000" w:themeColor="text1"/>
                <w:sz w:val="24"/>
                <w:lang w:val="en-US" w:eastAsia="zh-CN"/>
                <w14:textFill>
                  <w14:solidFill>
                    <w14:schemeClr w14:val="tx1"/>
                  </w14:solidFill>
                </w14:textFill>
              </w:rPr>
              <w:t>不少于三人</w:t>
            </w:r>
            <w:r>
              <w:rPr>
                <w:rFonts w:hint="eastAsia" w:hAnsi="仿宋_GB2312" w:cs="仿宋_GB2312"/>
                <w:color w:val="000000" w:themeColor="text1"/>
                <w:sz w:val="24"/>
                <w14:textFill>
                  <w14:solidFill>
                    <w14:schemeClr w14:val="tx1"/>
                  </w14:solidFill>
                </w14:textFill>
              </w:rPr>
              <w:t>，每</w:t>
            </w:r>
            <w:r>
              <w:rPr>
                <w:rFonts w:hint="eastAsia" w:hAnsi="仿宋_GB2312" w:cs="仿宋_GB2312"/>
                <w:color w:val="000000" w:themeColor="text1"/>
                <w:sz w:val="24"/>
                <w:lang w:val="en-US" w:eastAsia="zh-CN"/>
                <w14:textFill>
                  <w14:solidFill>
                    <w14:schemeClr w14:val="tx1"/>
                  </w14:solidFill>
                </w14:textFill>
              </w:rPr>
              <w:t>多一个人</w:t>
            </w:r>
            <w:r>
              <w:rPr>
                <w:rFonts w:hint="eastAsia" w:hAnsi="仿宋_GB2312" w:cs="仿宋_GB2312"/>
                <w:color w:val="000000" w:themeColor="text1"/>
                <w:sz w:val="24"/>
                <w14:textFill>
                  <w14:solidFill>
                    <w14:schemeClr w14:val="tx1"/>
                  </w14:solidFill>
                </w14:textFill>
              </w:rPr>
              <w:t>计</w:t>
            </w:r>
            <w:r>
              <w:rPr>
                <w:rFonts w:hint="eastAsia" w:hAnsi="仿宋_GB2312" w:cs="仿宋_GB2312"/>
                <w:color w:val="000000" w:themeColor="text1"/>
                <w:sz w:val="24"/>
                <w:lang w:val="en-US" w:eastAsia="zh-CN"/>
                <w14:textFill>
                  <w14:solidFill>
                    <w14:schemeClr w14:val="tx1"/>
                  </w14:solidFill>
                </w14:textFill>
              </w:rPr>
              <w:t>2</w:t>
            </w:r>
            <w:r>
              <w:rPr>
                <w:rFonts w:hint="eastAsia" w:hAnsi="仿宋_GB2312" w:cs="仿宋_GB2312"/>
                <w:color w:val="000000" w:themeColor="text1"/>
                <w:sz w:val="24"/>
                <w14:textFill>
                  <w14:solidFill>
                    <w14:schemeClr w14:val="tx1"/>
                  </w14:solidFill>
                </w14:textFill>
              </w:rPr>
              <w:t>分，最多计</w:t>
            </w:r>
            <w:r>
              <w:rPr>
                <w:rFonts w:hint="eastAsia" w:hAnsi="仿宋_GB2312" w:cs="仿宋_GB2312"/>
                <w:color w:val="000000" w:themeColor="text1"/>
                <w:sz w:val="24"/>
                <w:lang w:val="en-US" w:eastAsia="zh-CN"/>
                <w14:textFill>
                  <w14:solidFill>
                    <w14:schemeClr w14:val="tx1"/>
                  </w14:solidFill>
                </w14:textFill>
              </w:rPr>
              <w:t>8</w:t>
            </w:r>
            <w:r>
              <w:rPr>
                <w:rFonts w:hint="eastAsia" w:hAnsi="仿宋_GB2312" w:cs="仿宋_GB2312"/>
                <w:color w:val="000000" w:themeColor="text1"/>
                <w:sz w:val="24"/>
                <w14:textFill>
                  <w14:solidFill>
                    <w14:schemeClr w14:val="tx1"/>
                  </w14:solidFill>
                </w14:textFill>
              </w:rPr>
              <w:t>分。</w:t>
            </w:r>
          </w:p>
          <w:p>
            <w:pPr>
              <w:spacing w:line="400" w:lineRule="exact"/>
              <w:jc w:val="left"/>
              <w:rPr>
                <w:rFonts w:hAnsi="仿宋_GB2312" w:cs="仿宋_GB2312"/>
                <w:sz w:val="24"/>
              </w:rPr>
            </w:pPr>
            <w:r>
              <w:rPr>
                <w:rFonts w:hint="eastAsia" w:hAnsi="仿宋_GB2312" w:cs="仿宋_GB2312"/>
                <w:color w:val="000000" w:themeColor="text1"/>
                <w:sz w:val="24"/>
                <w14:textFill>
                  <w14:solidFill>
                    <w14:schemeClr w14:val="tx1"/>
                  </w14:solidFill>
                </w14:textFill>
              </w:rPr>
              <w:t>注：需提供工程师的认证证书的复印件及投标人为其缴纳的近一年度内任意连续3个月的个人社保缴纳证明材料复印件，</w:t>
            </w:r>
            <w:r>
              <w:rPr>
                <w:rFonts w:hint="eastAsia" w:hAnsi="仿宋_GB2312" w:cs="仿宋_GB2312"/>
                <w:color w:val="000000" w:themeColor="text1"/>
                <w:sz w:val="24"/>
                <w:lang w:val="zh-CN"/>
                <w14:textFill>
                  <w14:solidFill>
                    <w14:schemeClr w14:val="tx1"/>
                  </w14:solidFill>
                </w14:textFill>
              </w:rPr>
              <w:t>并加盖投标人公章，</w:t>
            </w:r>
            <w:r>
              <w:rPr>
                <w:rFonts w:hint="eastAsia" w:hAnsi="仿宋_GB2312" w:cs="仿宋_GB2312"/>
                <w:color w:val="000000" w:themeColor="text1"/>
                <w:sz w:val="24"/>
                <w14:textFill>
                  <w14:solidFill>
                    <w14:schemeClr w14:val="tx1"/>
                  </w14:solidFill>
                </w14:textFill>
              </w:rPr>
              <w:t>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企业认证</w:t>
            </w:r>
          </w:p>
          <w:p>
            <w:pPr>
              <w:spacing w:line="400" w:lineRule="exact"/>
              <w:jc w:val="center"/>
              <w:rPr>
                <w:rFonts w:hAnsi="仿宋_GB2312" w:cs="仿宋_GB2312"/>
                <w:sz w:val="24"/>
              </w:rPr>
            </w:pPr>
            <w:r>
              <w:rPr>
                <w:rFonts w:hint="eastAsia" w:hAnsi="仿宋_GB2312" w:cs="仿宋_GB2312"/>
                <w:sz w:val="24"/>
              </w:rPr>
              <w:t>（9分）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1、投标人具有质量管理体系认证证书的计3分。</w:t>
            </w:r>
          </w:p>
          <w:p>
            <w:pPr>
              <w:spacing w:line="400" w:lineRule="exact"/>
              <w:jc w:val="left"/>
              <w:rPr>
                <w:rFonts w:hAnsi="仿宋_GB2312" w:cs="仿宋_GB2312"/>
                <w:sz w:val="24"/>
              </w:rPr>
            </w:pPr>
            <w:r>
              <w:rPr>
                <w:rFonts w:hint="eastAsia" w:hAnsi="仿宋_GB2312" w:cs="仿宋_GB2312"/>
                <w:sz w:val="24"/>
              </w:rPr>
              <w:t>2、投标人具有信息技术服务管理体系认证的计3分。</w:t>
            </w:r>
          </w:p>
          <w:p>
            <w:pPr>
              <w:spacing w:line="400" w:lineRule="exact"/>
              <w:jc w:val="left"/>
              <w:rPr>
                <w:rFonts w:hAnsi="仿宋_GB2312" w:cs="仿宋_GB2312"/>
                <w:sz w:val="24"/>
              </w:rPr>
            </w:pPr>
            <w:r>
              <w:rPr>
                <w:rFonts w:hint="eastAsia" w:hAnsi="仿宋_GB2312" w:cs="仿宋_GB2312"/>
                <w:sz w:val="24"/>
              </w:rPr>
              <w:t>3、投标人具有信息安全管理体系认证的计3分。</w:t>
            </w:r>
          </w:p>
          <w:p>
            <w:pPr>
              <w:spacing w:line="400" w:lineRule="exact"/>
              <w:jc w:val="left"/>
              <w:rPr>
                <w:rFonts w:hAnsi="仿宋_GB2312" w:cs="仿宋_GB2312"/>
                <w:sz w:val="24"/>
              </w:rPr>
            </w:pPr>
            <w:r>
              <w:rPr>
                <w:rFonts w:hint="eastAsia" w:hAnsi="仿宋_GB2312" w:cs="仿宋_GB2312"/>
                <w:sz w:val="24"/>
              </w:rPr>
              <w:t>注：需提供相关认证文件的复印件，</w:t>
            </w:r>
            <w:r>
              <w:rPr>
                <w:rFonts w:hint="eastAsia" w:hAnsi="仿宋_GB2312" w:cs="仿宋_GB2312"/>
                <w:sz w:val="24"/>
                <w:lang w:val="zh-CN"/>
              </w:rPr>
              <w:t>并加盖投标人公章，</w:t>
            </w:r>
            <w:r>
              <w:rPr>
                <w:rFonts w:hint="eastAsia" w:hAnsi="仿宋_GB2312" w:cs="仿宋_GB2312"/>
                <w:sz w:val="24"/>
              </w:rPr>
              <w:t>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项目业绩（1</w:t>
            </w:r>
            <w:r>
              <w:rPr>
                <w:rFonts w:hint="eastAsia" w:hAnsi="仿宋_GB2312" w:cs="仿宋_GB2312"/>
                <w:sz w:val="24"/>
                <w:lang w:val="en-US" w:eastAsia="zh-CN"/>
              </w:rPr>
              <w:t>5</w:t>
            </w:r>
            <w:r>
              <w:rPr>
                <w:rFonts w:hint="eastAsia" w:hAnsi="仿宋_GB2312" w:cs="仿宋_GB2312"/>
                <w:sz w:val="24"/>
              </w:rPr>
              <w:t>）</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投标人自2021年</w:t>
            </w:r>
            <w:r>
              <w:rPr>
                <w:rFonts w:hint="eastAsia" w:hAnsi="仿宋_GB2312" w:cs="仿宋_GB2312"/>
                <w:sz w:val="24"/>
                <w:lang w:val="en-US" w:eastAsia="zh-CN"/>
              </w:rPr>
              <w:t>5</w:t>
            </w:r>
            <w:r>
              <w:rPr>
                <w:rFonts w:hint="eastAsia" w:hAnsi="仿宋_GB2312" w:cs="仿宋_GB2312"/>
                <w:sz w:val="24"/>
              </w:rPr>
              <w:t>月以来（以合同签订时间为准），具有与本项目同类型服务业绩(内容为打印机、复印机等文印设备耗材、配件与维修总包服务)，每提供一个项目业绩计</w:t>
            </w:r>
            <w:r>
              <w:rPr>
                <w:rFonts w:hint="eastAsia" w:hAnsi="仿宋_GB2312" w:cs="仿宋_GB2312"/>
                <w:sz w:val="24"/>
                <w:lang w:val="en-US" w:eastAsia="zh-CN"/>
              </w:rPr>
              <w:t>3</w:t>
            </w:r>
            <w:r>
              <w:rPr>
                <w:rFonts w:hint="eastAsia" w:hAnsi="仿宋_GB2312" w:cs="仿宋_GB2312"/>
                <w:sz w:val="24"/>
              </w:rPr>
              <w:t>分，最高计1</w:t>
            </w:r>
            <w:r>
              <w:rPr>
                <w:rFonts w:hint="eastAsia" w:hAnsi="仿宋_GB2312" w:cs="仿宋_GB2312"/>
                <w:sz w:val="24"/>
                <w:lang w:val="en-US" w:eastAsia="zh-CN"/>
              </w:rPr>
              <w:t>5</w:t>
            </w:r>
            <w:r>
              <w:rPr>
                <w:rFonts w:hint="eastAsia" w:hAnsi="仿宋_GB2312" w:cs="仿宋_GB2312"/>
                <w:sz w:val="24"/>
              </w:rPr>
              <w:t>分。同一单位多年度合同视为一个业绩。</w:t>
            </w:r>
          </w:p>
          <w:p>
            <w:pPr>
              <w:spacing w:line="400" w:lineRule="exact"/>
              <w:jc w:val="left"/>
              <w:rPr>
                <w:rFonts w:hAnsi="仿宋_GB2312" w:cs="仿宋_GB2312"/>
                <w:sz w:val="24"/>
              </w:rPr>
            </w:pPr>
            <w:r>
              <w:rPr>
                <w:rFonts w:hint="eastAsia" w:hAnsi="仿宋_GB2312" w:cs="仿宋_GB2312"/>
                <w:sz w:val="24"/>
              </w:rPr>
              <w:t>（提供合同或中标（成交）通知书复印件、客户联系人、固定电话，否则不予计分）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总分</w:t>
            </w:r>
          </w:p>
        </w:tc>
        <w:tc>
          <w:tcPr>
            <w:tcW w:w="8398" w:type="dxa"/>
            <w:vAlign w:val="center"/>
          </w:tcPr>
          <w:p>
            <w:pPr>
              <w:spacing w:line="400" w:lineRule="exact"/>
              <w:jc w:val="center"/>
              <w:rPr>
                <w:rFonts w:hAnsi="仿宋_GB2312" w:cs="仿宋_GB2312"/>
                <w:sz w:val="24"/>
              </w:rPr>
            </w:pPr>
            <w:r>
              <w:rPr>
                <w:rFonts w:hint="eastAsia" w:hAnsi="仿宋_GB2312" w:cs="仿宋_GB2312"/>
                <w:sz w:val="24"/>
              </w:rPr>
              <w:t>100分</w:t>
            </w:r>
          </w:p>
        </w:tc>
      </w:tr>
    </w:tbl>
    <w:p>
      <w:pPr>
        <w:spacing w:before="156" w:beforeLines="50" w:line="360" w:lineRule="auto"/>
        <w:ind w:firstLine="480" w:firstLineChars="200"/>
        <w:rPr>
          <w:rFonts w:ascii="宋体" w:hAnsi="宋体" w:cs="宋体"/>
          <w:sz w:val="24"/>
        </w:rPr>
      </w:pPr>
      <w:r>
        <w:rPr>
          <w:rFonts w:hint="eastAsia" w:ascii="宋体" w:hAnsi="宋体" w:cs="宋体"/>
          <w:sz w:val="24"/>
        </w:rPr>
        <w:t>2、有下述情况之一的，评标委员会应当认定其为不合格投标人：</w:t>
      </w:r>
    </w:p>
    <w:p>
      <w:pPr>
        <w:spacing w:line="360" w:lineRule="auto"/>
        <w:ind w:firstLine="480" w:firstLineChars="200"/>
        <w:rPr>
          <w:rFonts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pPr>
        <w:spacing w:line="360" w:lineRule="auto"/>
        <w:ind w:firstLine="480" w:firstLineChars="200"/>
        <w:rPr>
          <w:rFonts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pPr>
        <w:spacing w:line="360" w:lineRule="auto"/>
        <w:ind w:firstLine="480" w:firstLineChars="200"/>
        <w:rPr>
          <w:rFonts w:ascii="宋体" w:hAnsi="宋体" w:cs="宋体"/>
          <w:sz w:val="24"/>
        </w:rPr>
      </w:pPr>
      <w:r>
        <w:rPr>
          <w:rFonts w:hint="eastAsia" w:ascii="宋体" w:hAnsi="宋体" w:cs="宋体"/>
          <w:sz w:val="24"/>
        </w:rPr>
        <w:t xml:space="preserve">（3）不具备招标文件中规定资格要求的； </w:t>
      </w:r>
    </w:p>
    <w:p>
      <w:pPr>
        <w:spacing w:line="360" w:lineRule="auto"/>
        <w:ind w:firstLine="480" w:firstLineChars="200"/>
        <w:rPr>
          <w:rFonts w:ascii="宋体" w:hAnsi="宋体" w:cs="宋体"/>
          <w:sz w:val="24"/>
        </w:rPr>
      </w:pPr>
      <w:r>
        <w:rPr>
          <w:rFonts w:hint="eastAsia" w:ascii="宋体" w:hAnsi="宋体" w:cs="宋体"/>
          <w:sz w:val="24"/>
        </w:rPr>
        <w:t>（4）投标人递交两份或多份内容不同的投标文件的；</w:t>
      </w:r>
    </w:p>
    <w:p>
      <w:pPr>
        <w:spacing w:line="360" w:lineRule="auto"/>
        <w:ind w:firstLine="480" w:firstLineChars="200"/>
        <w:rPr>
          <w:rFonts w:ascii="宋体" w:hAnsi="宋体" w:cs="宋体"/>
          <w:sz w:val="24"/>
        </w:rPr>
      </w:pPr>
      <w:r>
        <w:rPr>
          <w:rFonts w:hint="eastAsia" w:ascii="宋体" w:hAnsi="宋体" w:cs="宋体"/>
          <w:sz w:val="24"/>
        </w:rPr>
        <w:t>（5）以行贿手段谋取中标或者不如实提供有关情况、文件、证明等资料及以其他弄虚作假方式投标的；</w:t>
      </w:r>
    </w:p>
    <w:p>
      <w:pPr>
        <w:spacing w:line="360" w:lineRule="auto"/>
        <w:ind w:firstLine="480" w:firstLineChars="200"/>
        <w:rPr>
          <w:rFonts w:ascii="宋体" w:hAnsi="宋体" w:cs="宋体"/>
          <w:sz w:val="24"/>
        </w:rPr>
      </w:pPr>
      <w:r>
        <w:rPr>
          <w:rFonts w:hint="eastAsia" w:ascii="宋体" w:hAnsi="宋体" w:cs="宋体"/>
          <w:sz w:val="24"/>
        </w:rPr>
        <w:t>（6）其它不符合法律法规和招标文件相关形式规定的；</w:t>
      </w:r>
    </w:p>
    <w:p>
      <w:pPr>
        <w:spacing w:line="360" w:lineRule="auto"/>
        <w:ind w:firstLine="480" w:firstLineChars="200"/>
        <w:rPr>
          <w:rFonts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pPr>
        <w:spacing w:line="360" w:lineRule="auto"/>
        <w:ind w:firstLine="480" w:firstLineChars="200"/>
        <w:rPr>
          <w:rFonts w:ascii="宋体" w:hAnsi="宋体" w:cs="宋体"/>
          <w:sz w:val="24"/>
        </w:rPr>
      </w:pPr>
      <w:r>
        <w:rPr>
          <w:rFonts w:hint="eastAsia" w:ascii="宋体" w:hAnsi="宋体" w:cs="宋体"/>
          <w:sz w:val="24"/>
        </w:rPr>
        <w:t>4、经评标委员会评审，所有投标文件均被否决的，招标人应当依法重新招标。</w:t>
      </w:r>
    </w:p>
    <w:p>
      <w:pPr>
        <w:spacing w:line="360" w:lineRule="auto"/>
        <w:ind w:firstLine="482" w:firstLineChars="200"/>
      </w:pPr>
      <w:r>
        <w:rPr>
          <w:rFonts w:hint="eastAsia" w:ascii="宋体" w:hAnsi="宋体" w:cs="宋体"/>
          <w:b/>
          <w:bCs/>
          <w:sz w:val="24"/>
        </w:rPr>
        <w:t>本评标办法仅适用于本项目。</w:t>
      </w:r>
    </w:p>
    <w:sectPr>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7D05D"/>
    <w:multiLevelType w:val="singleLevel"/>
    <w:tmpl w:val="C497D05D"/>
    <w:lvl w:ilvl="0" w:tentative="0">
      <w:start w:val="1"/>
      <w:numFmt w:val="chineseCounting"/>
      <w:suff w:val="nothing"/>
      <w:lvlText w:val="（%1）"/>
      <w:lvlJc w:val="left"/>
      <w:rPr>
        <w:rFonts w:hint="eastAsia"/>
      </w:rPr>
    </w:lvl>
  </w:abstractNum>
  <w:abstractNum w:abstractNumId="1">
    <w:nsid w:val="47999D8E"/>
    <w:multiLevelType w:val="singleLevel"/>
    <w:tmpl w:val="47999D8E"/>
    <w:lvl w:ilvl="0" w:tentative="0">
      <w:start w:val="3"/>
      <w:numFmt w:val="chineseCounting"/>
      <w:suff w:val="nothing"/>
      <w:lvlText w:val="(%1）"/>
      <w:lvlJc w:val="left"/>
      <w:rPr>
        <w:rFonts w:hint="eastAsia"/>
      </w:rPr>
    </w:lvl>
  </w:abstractNum>
  <w:abstractNum w:abstractNumId="2">
    <w:nsid w:val="687E66C0"/>
    <w:multiLevelType w:val="multilevel"/>
    <w:tmpl w:val="687E66C0"/>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4">
    <w:nsid w:val="786DF8C2"/>
    <w:multiLevelType w:val="singleLevel"/>
    <w:tmpl w:val="786DF8C2"/>
    <w:lvl w:ilvl="0" w:tentative="0">
      <w:start w:val="8"/>
      <w:numFmt w:val="chineseCounting"/>
      <w:suff w:val="nothing"/>
      <w:lvlText w:val="%1、"/>
      <w:lvlJc w:val="left"/>
      <w:rPr>
        <w:rFonts w:hint="eastAsia"/>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YWU1NDI5NGUwMzE1MmRmNzE3ZmE2MGU1NjQ5NjMifQ=="/>
  </w:docVars>
  <w:rsids>
    <w:rsidRoot w:val="007C7C41"/>
    <w:rsid w:val="0002432A"/>
    <w:rsid w:val="00026832"/>
    <w:rsid w:val="00033FB9"/>
    <w:rsid w:val="0004220C"/>
    <w:rsid w:val="000916EA"/>
    <w:rsid w:val="000B4AC9"/>
    <w:rsid w:val="000C0006"/>
    <w:rsid w:val="000C2AAD"/>
    <w:rsid w:val="000C4FCD"/>
    <w:rsid w:val="000C7B07"/>
    <w:rsid w:val="000D17C4"/>
    <w:rsid w:val="000D2C1F"/>
    <w:rsid w:val="000E208E"/>
    <w:rsid w:val="000E22D8"/>
    <w:rsid w:val="000E2FCA"/>
    <w:rsid w:val="000E3EB7"/>
    <w:rsid w:val="000E6B0E"/>
    <w:rsid w:val="000F59A8"/>
    <w:rsid w:val="000F6B06"/>
    <w:rsid w:val="00103E0F"/>
    <w:rsid w:val="001041D4"/>
    <w:rsid w:val="001056D9"/>
    <w:rsid w:val="001111B1"/>
    <w:rsid w:val="001112DE"/>
    <w:rsid w:val="00112F2C"/>
    <w:rsid w:val="00113DE3"/>
    <w:rsid w:val="001229C1"/>
    <w:rsid w:val="001378A6"/>
    <w:rsid w:val="001407DC"/>
    <w:rsid w:val="00147AE1"/>
    <w:rsid w:val="001508AD"/>
    <w:rsid w:val="00176BAF"/>
    <w:rsid w:val="001819C1"/>
    <w:rsid w:val="00185494"/>
    <w:rsid w:val="0019333A"/>
    <w:rsid w:val="00193DEB"/>
    <w:rsid w:val="001B2139"/>
    <w:rsid w:val="001C3297"/>
    <w:rsid w:val="001D36D3"/>
    <w:rsid w:val="001F5991"/>
    <w:rsid w:val="001F7DBC"/>
    <w:rsid w:val="00202942"/>
    <w:rsid w:val="002053A9"/>
    <w:rsid w:val="00206640"/>
    <w:rsid w:val="00215E79"/>
    <w:rsid w:val="00220D7A"/>
    <w:rsid w:val="00226141"/>
    <w:rsid w:val="0023261F"/>
    <w:rsid w:val="00265E3A"/>
    <w:rsid w:val="00266420"/>
    <w:rsid w:val="002802E5"/>
    <w:rsid w:val="00282FA9"/>
    <w:rsid w:val="002837F0"/>
    <w:rsid w:val="00285835"/>
    <w:rsid w:val="00291B18"/>
    <w:rsid w:val="002A4AE2"/>
    <w:rsid w:val="002B187F"/>
    <w:rsid w:val="002B2B07"/>
    <w:rsid w:val="002C024E"/>
    <w:rsid w:val="002C2671"/>
    <w:rsid w:val="002E247B"/>
    <w:rsid w:val="002F6DB9"/>
    <w:rsid w:val="00311AEF"/>
    <w:rsid w:val="0033452A"/>
    <w:rsid w:val="003409D6"/>
    <w:rsid w:val="00342556"/>
    <w:rsid w:val="00350BE7"/>
    <w:rsid w:val="00354EDA"/>
    <w:rsid w:val="003552E1"/>
    <w:rsid w:val="00361DF5"/>
    <w:rsid w:val="00376BAC"/>
    <w:rsid w:val="003839A4"/>
    <w:rsid w:val="00384497"/>
    <w:rsid w:val="003961FC"/>
    <w:rsid w:val="003978F7"/>
    <w:rsid w:val="003B018F"/>
    <w:rsid w:val="003C2587"/>
    <w:rsid w:val="003E08E9"/>
    <w:rsid w:val="00404AB4"/>
    <w:rsid w:val="004070A8"/>
    <w:rsid w:val="00414168"/>
    <w:rsid w:val="004225D5"/>
    <w:rsid w:val="004244CC"/>
    <w:rsid w:val="00434A15"/>
    <w:rsid w:val="00444647"/>
    <w:rsid w:val="004470A7"/>
    <w:rsid w:val="004473FA"/>
    <w:rsid w:val="00452D2A"/>
    <w:rsid w:val="00460139"/>
    <w:rsid w:val="004628AB"/>
    <w:rsid w:val="00463B93"/>
    <w:rsid w:val="004719E3"/>
    <w:rsid w:val="00474429"/>
    <w:rsid w:val="004841A8"/>
    <w:rsid w:val="004928AE"/>
    <w:rsid w:val="00494B92"/>
    <w:rsid w:val="004A0F69"/>
    <w:rsid w:val="004A2598"/>
    <w:rsid w:val="004A47B4"/>
    <w:rsid w:val="004A4A1C"/>
    <w:rsid w:val="004B69EE"/>
    <w:rsid w:val="004C21D9"/>
    <w:rsid w:val="004C683A"/>
    <w:rsid w:val="004D1E1D"/>
    <w:rsid w:val="004D35B2"/>
    <w:rsid w:val="004D683E"/>
    <w:rsid w:val="004E1784"/>
    <w:rsid w:val="004E1F26"/>
    <w:rsid w:val="004E7358"/>
    <w:rsid w:val="004F3BA6"/>
    <w:rsid w:val="00500610"/>
    <w:rsid w:val="0050263D"/>
    <w:rsid w:val="005038C5"/>
    <w:rsid w:val="005076FA"/>
    <w:rsid w:val="00507808"/>
    <w:rsid w:val="005206B0"/>
    <w:rsid w:val="00521121"/>
    <w:rsid w:val="005279A6"/>
    <w:rsid w:val="00534A9A"/>
    <w:rsid w:val="005411A6"/>
    <w:rsid w:val="005421CC"/>
    <w:rsid w:val="005425BD"/>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07C"/>
    <w:rsid w:val="00616524"/>
    <w:rsid w:val="00630078"/>
    <w:rsid w:val="00630D30"/>
    <w:rsid w:val="00632ED3"/>
    <w:rsid w:val="00634053"/>
    <w:rsid w:val="00636D2E"/>
    <w:rsid w:val="006377EA"/>
    <w:rsid w:val="0065340C"/>
    <w:rsid w:val="00655E0C"/>
    <w:rsid w:val="0067546C"/>
    <w:rsid w:val="0068371B"/>
    <w:rsid w:val="006A056B"/>
    <w:rsid w:val="006A7A41"/>
    <w:rsid w:val="006B274D"/>
    <w:rsid w:val="006B5265"/>
    <w:rsid w:val="006C0664"/>
    <w:rsid w:val="006E407C"/>
    <w:rsid w:val="006F43C4"/>
    <w:rsid w:val="00700865"/>
    <w:rsid w:val="00706CE7"/>
    <w:rsid w:val="00711BA2"/>
    <w:rsid w:val="00712128"/>
    <w:rsid w:val="00712F84"/>
    <w:rsid w:val="007154F1"/>
    <w:rsid w:val="00722BBF"/>
    <w:rsid w:val="007304AD"/>
    <w:rsid w:val="00731F69"/>
    <w:rsid w:val="00743CAF"/>
    <w:rsid w:val="00750DC3"/>
    <w:rsid w:val="0077399D"/>
    <w:rsid w:val="00773AC8"/>
    <w:rsid w:val="00785A55"/>
    <w:rsid w:val="007A6C65"/>
    <w:rsid w:val="007B01B3"/>
    <w:rsid w:val="007B05D1"/>
    <w:rsid w:val="007C7C41"/>
    <w:rsid w:val="007D2559"/>
    <w:rsid w:val="007D4892"/>
    <w:rsid w:val="007D6D66"/>
    <w:rsid w:val="007D6E0E"/>
    <w:rsid w:val="007D7D22"/>
    <w:rsid w:val="007E0833"/>
    <w:rsid w:val="00801062"/>
    <w:rsid w:val="0080583D"/>
    <w:rsid w:val="00810469"/>
    <w:rsid w:val="00811109"/>
    <w:rsid w:val="00813A79"/>
    <w:rsid w:val="00825689"/>
    <w:rsid w:val="00826C2A"/>
    <w:rsid w:val="008462E7"/>
    <w:rsid w:val="00853DB7"/>
    <w:rsid w:val="008655EF"/>
    <w:rsid w:val="00870587"/>
    <w:rsid w:val="00874BFD"/>
    <w:rsid w:val="00877D26"/>
    <w:rsid w:val="00885372"/>
    <w:rsid w:val="00885BB1"/>
    <w:rsid w:val="008A10B6"/>
    <w:rsid w:val="008A5D13"/>
    <w:rsid w:val="008B48B2"/>
    <w:rsid w:val="008E54DB"/>
    <w:rsid w:val="008E66EB"/>
    <w:rsid w:val="00903C20"/>
    <w:rsid w:val="00906CC5"/>
    <w:rsid w:val="00921051"/>
    <w:rsid w:val="00926B06"/>
    <w:rsid w:val="00927127"/>
    <w:rsid w:val="009368D3"/>
    <w:rsid w:val="00937D1C"/>
    <w:rsid w:val="00951FAE"/>
    <w:rsid w:val="00961C65"/>
    <w:rsid w:val="00965F15"/>
    <w:rsid w:val="009754C8"/>
    <w:rsid w:val="00986D1F"/>
    <w:rsid w:val="00990BF4"/>
    <w:rsid w:val="009A1D1C"/>
    <w:rsid w:val="009B35B4"/>
    <w:rsid w:val="009B5FB6"/>
    <w:rsid w:val="009F136A"/>
    <w:rsid w:val="009F30ED"/>
    <w:rsid w:val="00A12750"/>
    <w:rsid w:val="00A16F7A"/>
    <w:rsid w:val="00A20E43"/>
    <w:rsid w:val="00A23BA5"/>
    <w:rsid w:val="00A35BB7"/>
    <w:rsid w:val="00A37FF5"/>
    <w:rsid w:val="00A42360"/>
    <w:rsid w:val="00A5392D"/>
    <w:rsid w:val="00A53A34"/>
    <w:rsid w:val="00A566D5"/>
    <w:rsid w:val="00A74CD8"/>
    <w:rsid w:val="00A77A98"/>
    <w:rsid w:val="00A81F44"/>
    <w:rsid w:val="00A91450"/>
    <w:rsid w:val="00A95092"/>
    <w:rsid w:val="00AA145B"/>
    <w:rsid w:val="00AB4256"/>
    <w:rsid w:val="00AC45ED"/>
    <w:rsid w:val="00AC51EC"/>
    <w:rsid w:val="00AD6534"/>
    <w:rsid w:val="00B0175F"/>
    <w:rsid w:val="00B22937"/>
    <w:rsid w:val="00B3412E"/>
    <w:rsid w:val="00B3429B"/>
    <w:rsid w:val="00B35BE1"/>
    <w:rsid w:val="00B37B00"/>
    <w:rsid w:val="00B52059"/>
    <w:rsid w:val="00B56A7F"/>
    <w:rsid w:val="00B60011"/>
    <w:rsid w:val="00B612D0"/>
    <w:rsid w:val="00B66748"/>
    <w:rsid w:val="00B7493C"/>
    <w:rsid w:val="00B771AB"/>
    <w:rsid w:val="00B81ED0"/>
    <w:rsid w:val="00B87532"/>
    <w:rsid w:val="00B931B4"/>
    <w:rsid w:val="00BA2B80"/>
    <w:rsid w:val="00BB0BBD"/>
    <w:rsid w:val="00BC6CD8"/>
    <w:rsid w:val="00BD0325"/>
    <w:rsid w:val="00BD487B"/>
    <w:rsid w:val="00BE0D00"/>
    <w:rsid w:val="00BE125F"/>
    <w:rsid w:val="00BF5E60"/>
    <w:rsid w:val="00C10E71"/>
    <w:rsid w:val="00C30043"/>
    <w:rsid w:val="00C56430"/>
    <w:rsid w:val="00C73F58"/>
    <w:rsid w:val="00CA2BEB"/>
    <w:rsid w:val="00CB7695"/>
    <w:rsid w:val="00CC512E"/>
    <w:rsid w:val="00CC68B0"/>
    <w:rsid w:val="00CD6C9C"/>
    <w:rsid w:val="00CF1803"/>
    <w:rsid w:val="00D069B4"/>
    <w:rsid w:val="00D159D5"/>
    <w:rsid w:val="00D1625A"/>
    <w:rsid w:val="00D379A2"/>
    <w:rsid w:val="00D42DED"/>
    <w:rsid w:val="00D42FD9"/>
    <w:rsid w:val="00D70A69"/>
    <w:rsid w:val="00D75527"/>
    <w:rsid w:val="00D80103"/>
    <w:rsid w:val="00D85CA0"/>
    <w:rsid w:val="00D8790E"/>
    <w:rsid w:val="00D93253"/>
    <w:rsid w:val="00D9421F"/>
    <w:rsid w:val="00DA061F"/>
    <w:rsid w:val="00DA340E"/>
    <w:rsid w:val="00DA67B2"/>
    <w:rsid w:val="00DB2CAE"/>
    <w:rsid w:val="00DB5AB0"/>
    <w:rsid w:val="00DD1775"/>
    <w:rsid w:val="00DF2E12"/>
    <w:rsid w:val="00E15F7C"/>
    <w:rsid w:val="00E17DCF"/>
    <w:rsid w:val="00E17F55"/>
    <w:rsid w:val="00E250FD"/>
    <w:rsid w:val="00E271E4"/>
    <w:rsid w:val="00E31455"/>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02122"/>
    <w:rsid w:val="00F10332"/>
    <w:rsid w:val="00F25A37"/>
    <w:rsid w:val="00F43369"/>
    <w:rsid w:val="00F5622E"/>
    <w:rsid w:val="00F74538"/>
    <w:rsid w:val="00F7673C"/>
    <w:rsid w:val="00F87DB3"/>
    <w:rsid w:val="00F93939"/>
    <w:rsid w:val="00FB3354"/>
    <w:rsid w:val="00FB34C2"/>
    <w:rsid w:val="00FB54AC"/>
    <w:rsid w:val="00FB6547"/>
    <w:rsid w:val="00FB69EE"/>
    <w:rsid w:val="00FB6DDB"/>
    <w:rsid w:val="00FB71AB"/>
    <w:rsid w:val="00FB7D38"/>
    <w:rsid w:val="00FC53F2"/>
    <w:rsid w:val="00FE2A63"/>
    <w:rsid w:val="00FF2603"/>
    <w:rsid w:val="024018DF"/>
    <w:rsid w:val="04114082"/>
    <w:rsid w:val="045F6B9B"/>
    <w:rsid w:val="06C9325F"/>
    <w:rsid w:val="093926A6"/>
    <w:rsid w:val="09EA0821"/>
    <w:rsid w:val="0C446C4A"/>
    <w:rsid w:val="0D1531E8"/>
    <w:rsid w:val="0D3317AF"/>
    <w:rsid w:val="10BA7A9A"/>
    <w:rsid w:val="111451B1"/>
    <w:rsid w:val="11AA79EB"/>
    <w:rsid w:val="12476873"/>
    <w:rsid w:val="145F6D78"/>
    <w:rsid w:val="14ED3D4F"/>
    <w:rsid w:val="15DD1DF8"/>
    <w:rsid w:val="180E78A8"/>
    <w:rsid w:val="18335C10"/>
    <w:rsid w:val="19996254"/>
    <w:rsid w:val="1B943177"/>
    <w:rsid w:val="1C0E2CEB"/>
    <w:rsid w:val="1C6019B5"/>
    <w:rsid w:val="1CB15175"/>
    <w:rsid w:val="1D4871EB"/>
    <w:rsid w:val="1DED3012"/>
    <w:rsid w:val="1E6A6074"/>
    <w:rsid w:val="1EDF6E66"/>
    <w:rsid w:val="21482DD7"/>
    <w:rsid w:val="215D592A"/>
    <w:rsid w:val="24AC4A25"/>
    <w:rsid w:val="25F24E87"/>
    <w:rsid w:val="264357B6"/>
    <w:rsid w:val="26A54C67"/>
    <w:rsid w:val="28C40C32"/>
    <w:rsid w:val="2A166BC1"/>
    <w:rsid w:val="2D6F69C0"/>
    <w:rsid w:val="31157E8A"/>
    <w:rsid w:val="31647D66"/>
    <w:rsid w:val="3291131A"/>
    <w:rsid w:val="358A2DE4"/>
    <w:rsid w:val="36993C98"/>
    <w:rsid w:val="36A42976"/>
    <w:rsid w:val="371A4C8C"/>
    <w:rsid w:val="3744399B"/>
    <w:rsid w:val="38136454"/>
    <w:rsid w:val="3B0F6ACC"/>
    <w:rsid w:val="3BEE6177"/>
    <w:rsid w:val="3C67442C"/>
    <w:rsid w:val="3D422619"/>
    <w:rsid w:val="3EEF109D"/>
    <w:rsid w:val="40E43974"/>
    <w:rsid w:val="40E616BA"/>
    <w:rsid w:val="412B24BB"/>
    <w:rsid w:val="4349552E"/>
    <w:rsid w:val="4390748B"/>
    <w:rsid w:val="45EE264F"/>
    <w:rsid w:val="474E6F58"/>
    <w:rsid w:val="47EE40E5"/>
    <w:rsid w:val="47F87C39"/>
    <w:rsid w:val="49CA0BFE"/>
    <w:rsid w:val="49FF0303"/>
    <w:rsid w:val="4B386DCB"/>
    <w:rsid w:val="4DB125A4"/>
    <w:rsid w:val="507A645F"/>
    <w:rsid w:val="50C55DBA"/>
    <w:rsid w:val="51696CA3"/>
    <w:rsid w:val="53A33245"/>
    <w:rsid w:val="53B31AE1"/>
    <w:rsid w:val="53B33245"/>
    <w:rsid w:val="53D52E7C"/>
    <w:rsid w:val="54F16ABB"/>
    <w:rsid w:val="55603AEE"/>
    <w:rsid w:val="564B20A8"/>
    <w:rsid w:val="580461A4"/>
    <w:rsid w:val="586340B6"/>
    <w:rsid w:val="597B5CF8"/>
    <w:rsid w:val="5CE13DF9"/>
    <w:rsid w:val="5D396905"/>
    <w:rsid w:val="5D730178"/>
    <w:rsid w:val="5D7E5824"/>
    <w:rsid w:val="5EE60A46"/>
    <w:rsid w:val="62660F38"/>
    <w:rsid w:val="62AD0052"/>
    <w:rsid w:val="645E6340"/>
    <w:rsid w:val="65C50B86"/>
    <w:rsid w:val="665146E0"/>
    <w:rsid w:val="66A61F9B"/>
    <w:rsid w:val="68320EBE"/>
    <w:rsid w:val="68840209"/>
    <w:rsid w:val="696372E0"/>
    <w:rsid w:val="696848C8"/>
    <w:rsid w:val="6CCB679F"/>
    <w:rsid w:val="6D7825A4"/>
    <w:rsid w:val="6D8F68C7"/>
    <w:rsid w:val="705838E8"/>
    <w:rsid w:val="7151042E"/>
    <w:rsid w:val="76A0780E"/>
    <w:rsid w:val="777D621D"/>
    <w:rsid w:val="7D415502"/>
    <w:rsid w:val="7EC116BC"/>
    <w:rsid w:val="7F081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jc w:val="center"/>
      <w:outlineLvl w:val="0"/>
    </w:pPr>
    <w:rPr>
      <w:szCs w:val="20"/>
    </w:rPr>
  </w:style>
  <w:style w:type="paragraph" w:styleId="3">
    <w:name w:val="heading 2"/>
    <w:basedOn w:val="1"/>
    <w:next w:val="1"/>
    <w:link w:val="86"/>
    <w:qFormat/>
    <w:uiPriority w:val="0"/>
    <w:pPr>
      <w:keepNext/>
      <w:keepLines/>
      <w:spacing w:line="360" w:lineRule="auto"/>
      <w:outlineLvl w:val="1"/>
    </w:pPr>
    <w:rPr>
      <w:rFonts w:ascii="Arial" w:hAnsi="Arial"/>
      <w:b/>
      <w:bCs/>
      <w:sz w:val="24"/>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autoRedefine/>
    <w:qFormat/>
    <w:uiPriority w:val="0"/>
    <w:pPr>
      <w:ind w:firstLine="420" w:firstLineChars="200"/>
    </w:pPr>
    <w:rPr>
      <w:rFonts w:ascii="Calibri" w:hAnsi="Calibri"/>
      <w:sz w:val="24"/>
      <w:szCs w:val="22"/>
    </w:rPr>
  </w:style>
  <w:style w:type="paragraph" w:customStyle="1" w:styleId="5">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6">
    <w:name w:val="annotation text"/>
    <w:basedOn w:val="1"/>
    <w:link w:val="90"/>
    <w:semiHidden/>
    <w:unhideWhenUsed/>
    <w:qFormat/>
    <w:uiPriority w:val="0"/>
    <w:pPr>
      <w:jc w:val="left"/>
    </w:pPr>
  </w:style>
  <w:style w:type="paragraph" w:styleId="7">
    <w:name w:val="Body Text"/>
    <w:basedOn w:val="1"/>
    <w:link w:val="87"/>
    <w:qFormat/>
    <w:uiPriority w:val="0"/>
    <w:pPr>
      <w:spacing w:after="120"/>
    </w:pPr>
  </w:style>
  <w:style w:type="paragraph" w:styleId="8">
    <w:name w:val="Body Text Indent"/>
    <w:basedOn w:val="1"/>
    <w:next w:val="9"/>
    <w:link w:val="82"/>
    <w:autoRedefine/>
    <w:qFormat/>
    <w:uiPriority w:val="0"/>
    <w:pPr>
      <w:adjustRightInd w:val="0"/>
      <w:snapToGrid w:val="0"/>
      <w:spacing w:line="360" w:lineRule="atLeast"/>
      <w:ind w:firstLine="480"/>
    </w:pPr>
    <w:rPr>
      <w:sz w:val="24"/>
    </w:rPr>
  </w:style>
  <w:style w:type="paragraph" w:styleId="9">
    <w:name w:val="annotation subject"/>
    <w:basedOn w:val="6"/>
    <w:next w:val="1"/>
    <w:link w:val="91"/>
    <w:autoRedefine/>
    <w:semiHidden/>
    <w:unhideWhenUsed/>
    <w:qFormat/>
    <w:uiPriority w:val="0"/>
    <w:rPr>
      <w:b/>
      <w:bCs/>
    </w:rPr>
  </w:style>
  <w:style w:type="paragraph" w:styleId="10">
    <w:name w:val="Body Text Indent 2"/>
    <w:basedOn w:val="1"/>
    <w:autoRedefine/>
    <w:qFormat/>
    <w:uiPriority w:val="99"/>
    <w:pPr>
      <w:spacing w:after="120" w:line="480" w:lineRule="auto"/>
      <w:ind w:left="420" w:leftChars="200"/>
    </w:pPr>
    <w:rPr>
      <w:kern w:val="0"/>
      <w:sz w:val="24"/>
    </w:rPr>
  </w:style>
  <w:style w:type="paragraph" w:styleId="11">
    <w:name w:val="Balloon Text"/>
    <w:basedOn w:val="1"/>
    <w:autoRedefine/>
    <w:semiHidden/>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unhideWhenUsed/>
    <w:qFormat/>
    <w:uiPriority w:val="39"/>
  </w:style>
  <w:style w:type="paragraph" w:styleId="15">
    <w:name w:val="Body Text 2"/>
    <w:basedOn w:val="1"/>
    <w:link w:val="84"/>
    <w:autoRedefine/>
    <w:qFormat/>
    <w:uiPriority w:val="0"/>
    <w:pPr>
      <w:spacing w:after="120" w:line="480" w:lineRule="auto"/>
    </w:pPr>
  </w:style>
  <w:style w:type="paragraph" w:styleId="16">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7">
    <w:name w:val="Body Text First Indent 2"/>
    <w:basedOn w:val="8"/>
    <w:next w:val="1"/>
    <w:link w:val="83"/>
    <w:autoRedefine/>
    <w:qFormat/>
    <w:uiPriority w:val="0"/>
    <w:pPr>
      <w:adjustRightInd/>
      <w:snapToGrid/>
      <w:spacing w:after="120" w:line="240" w:lineRule="auto"/>
      <w:ind w:left="420" w:leftChars="200" w:firstLine="420" w:firstLineChars="200"/>
    </w:pPr>
    <w:rPr>
      <w:sz w:val="21"/>
    </w:rPr>
  </w:style>
  <w:style w:type="table" w:styleId="19">
    <w:name w:val="Table Grid"/>
    <w:basedOn w:val="18"/>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character" w:styleId="22">
    <w:name w:val="FollowedHyperlink"/>
    <w:unhideWhenUsed/>
    <w:qFormat/>
    <w:uiPriority w:val="99"/>
    <w:rPr>
      <w:color w:val="800080"/>
      <w:u w:val="single"/>
    </w:rPr>
  </w:style>
  <w:style w:type="character" w:styleId="23">
    <w:name w:val="Emphasis"/>
    <w:autoRedefine/>
    <w:qFormat/>
    <w:uiPriority w:val="0"/>
    <w:rPr>
      <w:color w:val="CC0000"/>
    </w:rPr>
  </w:style>
  <w:style w:type="character" w:styleId="24">
    <w:name w:val="Hyperlink"/>
    <w:autoRedefine/>
    <w:qFormat/>
    <w:uiPriority w:val="99"/>
    <w:rPr>
      <w:color w:val="990000"/>
      <w:sz w:val="18"/>
      <w:szCs w:val="18"/>
      <w:u w:val="none"/>
    </w:rPr>
  </w:style>
  <w:style w:type="character" w:styleId="25">
    <w:name w:val="annotation reference"/>
    <w:basedOn w:val="20"/>
    <w:semiHidden/>
    <w:unhideWhenUsed/>
    <w:qFormat/>
    <w:uiPriority w:val="0"/>
    <w:rPr>
      <w:sz w:val="21"/>
      <w:szCs w:val="21"/>
    </w:rPr>
  </w:style>
  <w:style w:type="paragraph" w:customStyle="1" w:styleId="26">
    <w:name w:val="样式2"/>
    <w:basedOn w:val="2"/>
    <w:next w:val="1"/>
    <w:autoRedefine/>
    <w:qFormat/>
    <w:uiPriority w:val="0"/>
  </w:style>
  <w:style w:type="character" w:customStyle="1" w:styleId="27">
    <w:name w:val="style21"/>
    <w:qFormat/>
    <w:uiPriority w:val="0"/>
    <w:rPr>
      <w:sz w:val="22"/>
      <w:szCs w:val="22"/>
    </w:rPr>
  </w:style>
  <w:style w:type="character" w:customStyle="1" w:styleId="28">
    <w:name w:val="font21"/>
    <w:autoRedefine/>
    <w:qFormat/>
    <w:uiPriority w:val="0"/>
    <w:rPr>
      <w:rFonts w:hint="eastAsia" w:ascii="宋体" w:hAnsi="宋体" w:eastAsia="宋体" w:cs="宋体"/>
      <w:color w:val="000000"/>
      <w:sz w:val="20"/>
      <w:szCs w:val="20"/>
      <w:u w:val="none"/>
    </w:rPr>
  </w:style>
  <w:style w:type="character" w:customStyle="1" w:styleId="29">
    <w:name w:val="font41"/>
    <w:qFormat/>
    <w:uiPriority w:val="0"/>
    <w:rPr>
      <w:rFonts w:ascii="微软雅黑" w:hAnsi="微软雅黑" w:eastAsia="微软雅黑" w:cs="微软雅黑"/>
      <w:b/>
      <w:color w:val="000000"/>
      <w:sz w:val="40"/>
      <w:szCs w:val="40"/>
      <w:u w:val="none"/>
    </w:rPr>
  </w:style>
  <w:style w:type="character" w:customStyle="1" w:styleId="30">
    <w:name w:val="font01"/>
    <w:autoRedefine/>
    <w:qFormat/>
    <w:uiPriority w:val="0"/>
    <w:rPr>
      <w:rFonts w:hint="eastAsia" w:ascii="宋体" w:hAnsi="宋体" w:eastAsia="宋体" w:cs="宋体"/>
      <w:color w:val="000000"/>
      <w:sz w:val="22"/>
      <w:szCs w:val="22"/>
      <w:u w:val="none"/>
    </w:rPr>
  </w:style>
  <w:style w:type="character" w:customStyle="1" w:styleId="31">
    <w:name w:val="font31"/>
    <w:autoRedefine/>
    <w:qFormat/>
    <w:uiPriority w:val="0"/>
    <w:rPr>
      <w:rFonts w:hint="eastAsia" w:ascii="微软雅黑" w:hAnsi="微软雅黑" w:eastAsia="微软雅黑" w:cs="微软雅黑"/>
      <w:color w:val="000000"/>
      <w:sz w:val="20"/>
      <w:szCs w:val="20"/>
      <w:u w:val="none"/>
    </w:rPr>
  </w:style>
  <w:style w:type="paragraph" w:customStyle="1" w:styleId="32">
    <w:name w:val="font5"/>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3">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5">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7">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9">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40">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1">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4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3">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44">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5">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6">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7">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9">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0">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1">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52">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3">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4">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5">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6">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8">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9">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0">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61">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62">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3">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65">
    <w:name w:val="xl102"/>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66">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7">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8">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9">
    <w:name w:val="xl106"/>
    <w:basedOn w:val="1"/>
    <w:autoRedefine/>
    <w:qFormat/>
    <w:uiPriority w:val="0"/>
    <w:pPr>
      <w:widowControl/>
      <w:spacing w:before="100" w:beforeAutospacing="1" w:after="100" w:afterAutospacing="1"/>
      <w:jc w:val="center"/>
    </w:pPr>
    <w:rPr>
      <w:rFonts w:ascii="宋体" w:hAnsi="宋体" w:cs="宋体"/>
      <w:b/>
      <w:bCs/>
      <w:kern w:val="0"/>
      <w:sz w:val="24"/>
    </w:rPr>
  </w:style>
  <w:style w:type="paragraph" w:customStyle="1" w:styleId="70">
    <w:name w:val="xl107"/>
    <w:basedOn w:val="1"/>
    <w:autoRedefine/>
    <w:qFormat/>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71">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72">
    <w:name w:val="xl109"/>
    <w:basedOn w:val="1"/>
    <w:autoRedefine/>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73">
    <w:name w:val="xl11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4">
    <w:name w:val="xl111"/>
    <w:basedOn w:val="1"/>
    <w:autoRedefine/>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5">
    <w:name w:val="xl11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76">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7">
    <w:name w:val="font51"/>
    <w:basedOn w:val="20"/>
    <w:autoRedefine/>
    <w:qFormat/>
    <w:uiPriority w:val="0"/>
    <w:rPr>
      <w:rFonts w:hint="eastAsia" w:ascii="宋体" w:hAnsi="宋体" w:eastAsia="宋体" w:cs="宋体"/>
      <w:color w:val="000000"/>
      <w:sz w:val="24"/>
      <w:szCs w:val="24"/>
      <w:u w:val="none"/>
    </w:rPr>
  </w:style>
  <w:style w:type="character" w:customStyle="1" w:styleId="78">
    <w:name w:val="font81"/>
    <w:basedOn w:val="20"/>
    <w:autoRedefine/>
    <w:qFormat/>
    <w:uiPriority w:val="0"/>
    <w:rPr>
      <w:rFonts w:hint="eastAsia" w:ascii="宋体" w:hAnsi="宋体" w:eastAsia="宋体" w:cs="宋体"/>
      <w:color w:val="000000"/>
      <w:sz w:val="24"/>
      <w:szCs w:val="24"/>
      <w:u w:val="none"/>
    </w:rPr>
  </w:style>
  <w:style w:type="character" w:customStyle="1" w:styleId="79">
    <w:name w:val="font151"/>
    <w:basedOn w:val="20"/>
    <w:autoRedefine/>
    <w:qFormat/>
    <w:uiPriority w:val="0"/>
    <w:rPr>
      <w:rFonts w:hint="eastAsia" w:ascii="宋体" w:hAnsi="宋体" w:eastAsia="宋体" w:cs="宋体"/>
      <w:b/>
      <w:bCs/>
      <w:color w:val="000000"/>
      <w:sz w:val="24"/>
      <w:szCs w:val="24"/>
      <w:u w:val="none"/>
    </w:rPr>
  </w:style>
  <w:style w:type="character" w:customStyle="1" w:styleId="80">
    <w:name w:val="font161"/>
    <w:basedOn w:val="20"/>
    <w:autoRedefine/>
    <w:qFormat/>
    <w:uiPriority w:val="0"/>
    <w:rPr>
      <w:rFonts w:hint="eastAsia" w:ascii="宋体" w:hAnsi="宋体" w:eastAsia="宋体" w:cs="宋体"/>
      <w:b/>
      <w:bCs/>
      <w:color w:val="000000"/>
      <w:sz w:val="22"/>
      <w:szCs w:val="22"/>
      <w:u w:val="none"/>
    </w:rPr>
  </w:style>
  <w:style w:type="paragraph" w:styleId="81">
    <w:name w:val="List Paragraph"/>
    <w:basedOn w:val="1"/>
    <w:autoRedefine/>
    <w:unhideWhenUsed/>
    <w:qFormat/>
    <w:uiPriority w:val="99"/>
    <w:pPr>
      <w:ind w:firstLine="420" w:firstLineChars="200"/>
    </w:pPr>
  </w:style>
  <w:style w:type="character" w:customStyle="1" w:styleId="82">
    <w:name w:val="正文文本缩进 字符"/>
    <w:basedOn w:val="20"/>
    <w:link w:val="8"/>
    <w:autoRedefine/>
    <w:qFormat/>
    <w:uiPriority w:val="0"/>
    <w:rPr>
      <w:kern w:val="2"/>
      <w:sz w:val="24"/>
      <w:szCs w:val="24"/>
    </w:rPr>
  </w:style>
  <w:style w:type="character" w:customStyle="1" w:styleId="83">
    <w:name w:val="正文文本首行缩进 2 字符"/>
    <w:basedOn w:val="82"/>
    <w:link w:val="17"/>
    <w:autoRedefine/>
    <w:qFormat/>
    <w:uiPriority w:val="0"/>
    <w:rPr>
      <w:kern w:val="2"/>
      <w:sz w:val="24"/>
      <w:szCs w:val="24"/>
    </w:rPr>
  </w:style>
  <w:style w:type="character" w:customStyle="1" w:styleId="84">
    <w:name w:val="正文文本 2 字符"/>
    <w:basedOn w:val="20"/>
    <w:link w:val="15"/>
    <w:autoRedefine/>
    <w:qFormat/>
    <w:uiPriority w:val="0"/>
    <w:rPr>
      <w:kern w:val="2"/>
      <w:sz w:val="21"/>
      <w:szCs w:val="24"/>
    </w:rPr>
  </w:style>
  <w:style w:type="paragraph" w:customStyle="1" w:styleId="85">
    <w:name w:val="列表段落1"/>
    <w:basedOn w:val="1"/>
    <w:autoRedefine/>
    <w:qFormat/>
    <w:uiPriority w:val="99"/>
    <w:pPr>
      <w:widowControl/>
      <w:spacing w:before="50" w:after="50" w:line="400" w:lineRule="exact"/>
      <w:ind w:left="720"/>
      <w:contextualSpacing/>
      <w:jc w:val="left"/>
    </w:pPr>
    <w:rPr>
      <w:kern w:val="0"/>
      <w:sz w:val="24"/>
    </w:rPr>
  </w:style>
  <w:style w:type="character" w:customStyle="1" w:styleId="86">
    <w:name w:val="标题 2 字符"/>
    <w:basedOn w:val="20"/>
    <w:link w:val="3"/>
    <w:autoRedefine/>
    <w:qFormat/>
    <w:uiPriority w:val="0"/>
    <w:rPr>
      <w:rFonts w:ascii="Arial" w:hAnsi="Arial"/>
      <w:b/>
      <w:bCs/>
      <w:kern w:val="2"/>
      <w:sz w:val="24"/>
      <w:szCs w:val="32"/>
    </w:rPr>
  </w:style>
  <w:style w:type="character" w:customStyle="1" w:styleId="87">
    <w:name w:val="正文文本 字符"/>
    <w:basedOn w:val="20"/>
    <w:link w:val="7"/>
    <w:autoRedefine/>
    <w:qFormat/>
    <w:uiPriority w:val="0"/>
    <w:rPr>
      <w:kern w:val="2"/>
      <w:sz w:val="21"/>
      <w:szCs w:val="24"/>
    </w:rPr>
  </w:style>
  <w:style w:type="paragraph" w:customStyle="1" w:styleId="88">
    <w:name w:val="EndnoteText"/>
    <w:basedOn w:val="1"/>
    <w:autoRedefine/>
    <w:qFormat/>
    <w:uiPriority w:val="0"/>
  </w:style>
  <w:style w:type="paragraph" w:customStyle="1" w:styleId="89">
    <w:name w:val="[基本段落]"/>
    <w:autoRedefine/>
    <w:qFormat/>
    <w:uiPriority w:val="99"/>
    <w:pPr>
      <w:widowControl w:val="0"/>
      <w:autoSpaceDE w:val="0"/>
      <w:autoSpaceDN w:val="0"/>
      <w:adjustRightInd w:val="0"/>
      <w:spacing w:line="288" w:lineRule="auto"/>
      <w:jc w:val="both"/>
      <w:textAlignment w:val="center"/>
    </w:pPr>
    <w:rPr>
      <w:rFonts w:ascii="宋体" w:hAnsi="Calibri" w:eastAsia="宋体" w:cs="Times New Roman"/>
      <w:color w:val="000000"/>
      <w:kern w:val="2"/>
      <w:sz w:val="24"/>
      <w:lang w:val="zh-CN" w:eastAsia="zh-CN" w:bidi="ar-SA"/>
    </w:rPr>
  </w:style>
  <w:style w:type="character" w:customStyle="1" w:styleId="90">
    <w:name w:val="批注文字 字符"/>
    <w:basedOn w:val="20"/>
    <w:link w:val="6"/>
    <w:autoRedefine/>
    <w:semiHidden/>
    <w:qFormat/>
    <w:uiPriority w:val="0"/>
    <w:rPr>
      <w:kern w:val="2"/>
      <w:sz w:val="21"/>
      <w:szCs w:val="24"/>
    </w:rPr>
  </w:style>
  <w:style w:type="character" w:customStyle="1" w:styleId="91">
    <w:name w:val="批注主题 字符"/>
    <w:basedOn w:val="90"/>
    <w:link w:val="9"/>
    <w:autoRedefine/>
    <w:semiHidden/>
    <w:qFormat/>
    <w:uiPriority w:val="0"/>
    <w:rPr>
      <w:b/>
      <w:bCs/>
      <w:kern w:val="2"/>
      <w:sz w:val="21"/>
      <w:szCs w:val="24"/>
    </w:rPr>
  </w:style>
  <w:style w:type="character" w:customStyle="1" w:styleId="92">
    <w:name w:val="15"/>
    <w:autoRedefine/>
    <w:qFormat/>
    <w:uiPriority w:val="0"/>
    <w:rPr>
      <w:rFonts w:hint="default" w:ascii="Times New Roman" w:hAnsi="Times New Roman" w:cs="Times New Roman"/>
      <w:color w:val="0000FF"/>
      <w:u w:val="single"/>
    </w:rPr>
  </w:style>
  <w:style w:type="paragraph" w:customStyle="1" w:styleId="93">
    <w:name w:val="正文首行缩进 21"/>
    <w:basedOn w:val="94"/>
    <w:autoRedefine/>
    <w:qFormat/>
    <w:uiPriority w:val="0"/>
    <w:pPr>
      <w:spacing w:after="0" w:line="500" w:lineRule="exact"/>
      <w:ind w:left="0" w:leftChars="0" w:firstLine="420" w:firstLineChars="200"/>
    </w:pPr>
    <w:rPr>
      <w:rFonts w:eastAsia="仿宋_GB2312"/>
      <w:kern w:val="2"/>
      <w:sz w:val="28"/>
    </w:rPr>
  </w:style>
  <w:style w:type="paragraph" w:customStyle="1" w:styleId="94">
    <w:name w:val="正文文本缩进1"/>
    <w:basedOn w:val="1"/>
    <w:qFormat/>
    <w:uiPriority w:val="0"/>
    <w:pPr>
      <w:spacing w:after="120" w:line="440" w:lineRule="exact"/>
      <w:ind w:left="420" w:leftChars="200"/>
    </w:pPr>
    <w:rPr>
      <w:kern w:val="0"/>
      <w:sz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20</Pages>
  <Words>8670</Words>
  <Characters>9135</Characters>
  <Lines>100</Lines>
  <Paragraphs>28</Paragraphs>
  <TotalTime>3</TotalTime>
  <ScaleCrop>false</ScaleCrop>
  <LinksUpToDate>false</LinksUpToDate>
  <CharactersWithSpaces>9817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2024-04-19T03:55:00Z</dcterms:created>
  <dc:creator>jwc</dc:creator>
  <cp:lastModifiedBy>茜茜坨</cp:lastModifiedBy>
  <cp:lastPrinted>2009-02-17T01:24:00Z</cp:lastPrinted>
  <dcterms:modified xsi:type="dcterms:W3CDTF">2024-07-01T05:11:35Z</dcterms:modified>
  <dc:title>湖南科技大学2005-2006年教材招标</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12D5B57BEF614645BEF13B4E900AB182_13</vt:lpwstr>
  </property>
</Properties>
</file>