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209B56">
      <w:pPr>
        <w:spacing w:before="0" w:beforeLines="0" w:after="0" w:afterLines="0" w:line="240" w:lineRule="auto"/>
        <w:ind w:left="0" w:leftChars="0" w:right="0" w:rightChars="0" w:firstLine="0" w:firstLineChars="0"/>
        <w:jc w:val="center"/>
        <w:rPr>
          <w:rFonts w:ascii="宋体" w:hAnsi="宋体" w:eastAsia="宋体" w:cs="Times New Roman"/>
          <w:kern w:val="2"/>
          <w:sz w:val="21"/>
          <w:szCs w:val="24"/>
          <w:lang w:val="en-US" w:eastAsia="zh-CN" w:bidi="ar-SA"/>
        </w:rPr>
      </w:pPr>
      <w:bookmarkStart w:id="0" w:name="_Toc23640"/>
      <w:bookmarkStart w:id="1" w:name="_Toc10524"/>
      <w:bookmarkStart w:id="2" w:name="_Toc1422"/>
    </w:p>
    <w:p w14:paraId="5542A2F5">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黑体" w:hAnsi="黑体" w:eastAsia="黑体" w:cs="黑体"/>
          <w:sz w:val="56"/>
          <w:szCs w:val="52"/>
          <w:lang w:val="en-US" w:eastAsia="zh-CN"/>
        </w:rPr>
      </w:pPr>
    </w:p>
    <w:p w14:paraId="5E383EE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黑体" w:hAnsi="黑体" w:eastAsia="黑体" w:cs="黑体"/>
          <w:sz w:val="56"/>
          <w:szCs w:val="52"/>
          <w:lang w:val="en-US" w:eastAsia="zh-CN"/>
        </w:rPr>
      </w:pPr>
    </w:p>
    <w:p w14:paraId="67BA3A6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黑体" w:hAnsi="黑体" w:eastAsia="黑体" w:cs="黑体"/>
          <w:sz w:val="56"/>
          <w:szCs w:val="52"/>
          <w:lang w:val="en-US" w:eastAsia="zh-CN"/>
        </w:rPr>
      </w:pPr>
      <w:r>
        <w:rPr>
          <w:rFonts w:hint="eastAsia" w:ascii="黑体" w:hAnsi="黑体" w:eastAsia="黑体" w:cs="黑体"/>
          <w:sz w:val="56"/>
          <w:szCs w:val="52"/>
          <w:lang w:val="en-US" w:eastAsia="zh-CN"/>
        </w:rPr>
        <w:t>关于发展本科层次职业教育</w:t>
      </w:r>
    </w:p>
    <w:p w14:paraId="5AE14309">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黑体" w:hAnsi="黑体" w:eastAsia="黑体" w:cs="黑体"/>
          <w:sz w:val="60"/>
          <w:szCs w:val="56"/>
          <w:lang w:val="en-US" w:eastAsia="zh-CN"/>
        </w:rPr>
      </w:pPr>
    </w:p>
    <w:p w14:paraId="398412DA">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黑体" w:hAnsi="黑体" w:eastAsia="黑体" w:cs="黑体"/>
          <w:sz w:val="60"/>
          <w:szCs w:val="56"/>
          <w:lang w:val="en-US" w:eastAsia="zh-CN"/>
        </w:rPr>
      </w:pPr>
      <w:r>
        <w:rPr>
          <w:rFonts w:hint="eastAsia" w:ascii="黑体" w:hAnsi="黑体" w:eastAsia="黑体" w:cs="黑体"/>
          <w:sz w:val="60"/>
          <w:szCs w:val="56"/>
          <w:lang w:val="en-US" w:eastAsia="zh-CN"/>
        </w:rPr>
        <w:t>政</w:t>
      </w:r>
    </w:p>
    <w:p w14:paraId="41FC54E0">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黑体" w:hAnsi="黑体" w:eastAsia="黑体" w:cs="黑体"/>
          <w:sz w:val="60"/>
          <w:szCs w:val="56"/>
          <w:lang w:val="en-US" w:eastAsia="zh-CN"/>
        </w:rPr>
      </w:pPr>
      <w:r>
        <w:rPr>
          <w:rFonts w:hint="eastAsia" w:ascii="黑体" w:hAnsi="黑体" w:eastAsia="黑体" w:cs="黑体"/>
          <w:sz w:val="60"/>
          <w:szCs w:val="56"/>
          <w:lang w:val="en-US" w:eastAsia="zh-CN"/>
        </w:rPr>
        <w:t>策</w:t>
      </w:r>
    </w:p>
    <w:p w14:paraId="7AB53BD2">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黑体" w:hAnsi="黑体" w:eastAsia="黑体" w:cs="黑体"/>
          <w:sz w:val="60"/>
          <w:szCs w:val="56"/>
          <w:lang w:val="en-US" w:eastAsia="zh-CN"/>
        </w:rPr>
      </w:pPr>
      <w:r>
        <w:rPr>
          <w:rFonts w:hint="eastAsia" w:ascii="黑体" w:hAnsi="黑体" w:eastAsia="黑体" w:cs="黑体"/>
          <w:sz w:val="60"/>
          <w:szCs w:val="56"/>
          <w:lang w:val="en-US" w:eastAsia="zh-CN"/>
        </w:rPr>
        <w:t>汇</w:t>
      </w:r>
    </w:p>
    <w:p w14:paraId="49771A6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center"/>
        <w:textAlignment w:val="auto"/>
        <w:rPr>
          <w:rFonts w:hint="eastAsia" w:ascii="黑体" w:hAnsi="黑体" w:eastAsia="黑体" w:cs="黑体"/>
          <w:sz w:val="60"/>
          <w:szCs w:val="56"/>
          <w:lang w:val="en-US" w:eastAsia="zh-CN"/>
        </w:rPr>
      </w:pPr>
      <w:r>
        <w:rPr>
          <w:rFonts w:hint="eastAsia" w:ascii="黑体" w:hAnsi="黑体" w:eastAsia="黑体" w:cs="黑体"/>
          <w:sz w:val="60"/>
          <w:szCs w:val="56"/>
          <w:lang w:val="en-US" w:eastAsia="zh-CN"/>
        </w:rPr>
        <w:t>编</w:t>
      </w:r>
    </w:p>
    <w:p w14:paraId="27D32D4F">
      <w:pPr>
        <w:jc w:val="center"/>
        <w:rPr>
          <w:rFonts w:hint="eastAsia" w:ascii="黑体" w:hAnsi="黑体" w:eastAsia="黑体" w:cs="黑体"/>
          <w:sz w:val="36"/>
          <w:szCs w:val="36"/>
        </w:rPr>
      </w:pPr>
    </w:p>
    <w:p w14:paraId="4F36EB63">
      <w:pPr>
        <w:jc w:val="center"/>
        <w:rPr>
          <w:rFonts w:hint="eastAsia" w:ascii="黑体" w:hAnsi="黑体" w:eastAsia="黑体" w:cs="黑体"/>
          <w:sz w:val="36"/>
          <w:szCs w:val="36"/>
        </w:rPr>
      </w:pPr>
    </w:p>
    <w:p w14:paraId="76049C3C">
      <w:pPr>
        <w:jc w:val="center"/>
        <w:rPr>
          <w:rFonts w:hint="eastAsia" w:ascii="黑体" w:hAnsi="黑体" w:eastAsia="黑体" w:cs="黑体"/>
          <w:sz w:val="36"/>
          <w:szCs w:val="36"/>
        </w:rPr>
      </w:pPr>
    </w:p>
    <w:p w14:paraId="6DEEEEA4">
      <w:pPr>
        <w:jc w:val="center"/>
        <w:rPr>
          <w:rFonts w:hint="eastAsia" w:ascii="黑体" w:hAnsi="黑体" w:eastAsia="黑体" w:cs="黑体"/>
          <w:sz w:val="36"/>
          <w:szCs w:val="36"/>
        </w:rPr>
      </w:pPr>
    </w:p>
    <w:p w14:paraId="4CA0CF98">
      <w:pPr>
        <w:jc w:val="center"/>
        <w:rPr>
          <w:rFonts w:hint="eastAsia" w:ascii="黑体" w:hAnsi="黑体" w:eastAsia="黑体" w:cs="黑体"/>
          <w:sz w:val="36"/>
          <w:szCs w:val="36"/>
        </w:rPr>
      </w:pPr>
    </w:p>
    <w:p w14:paraId="41C6D102">
      <w:pPr>
        <w:jc w:val="center"/>
        <w:rPr>
          <w:rFonts w:hint="eastAsia" w:ascii="黑体" w:hAnsi="黑体" w:eastAsia="黑体" w:cs="黑体"/>
          <w:sz w:val="36"/>
          <w:szCs w:val="36"/>
        </w:rPr>
      </w:pPr>
      <w:bookmarkStart w:id="188" w:name="_GoBack"/>
      <w:bookmarkEnd w:id="188"/>
    </w:p>
    <w:p w14:paraId="5BA6AFEC">
      <w:pPr>
        <w:jc w:val="center"/>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发展规划处</w:t>
      </w:r>
    </w:p>
    <w:p w14:paraId="25B2E894">
      <w:pPr>
        <w:jc w:val="center"/>
        <w:rPr>
          <w:rFonts w:hint="eastAsia" w:ascii="楷体" w:hAnsi="楷体" w:eastAsia="楷体" w:cs="楷体"/>
          <w:sz w:val="32"/>
          <w:szCs w:val="32"/>
          <w:lang w:val="en-US" w:eastAsia="zh-CN"/>
        </w:rPr>
        <w:sectPr>
          <w:footerReference r:id="rId5" w:type="default"/>
          <w:pgSz w:w="11906" w:h="16838"/>
          <w:pgMar w:top="1440" w:right="1800" w:bottom="1440" w:left="1800" w:header="851" w:footer="992" w:gutter="0"/>
          <w:cols w:space="425" w:num="1"/>
          <w:docGrid w:type="lines" w:linePitch="312" w:charSpace="0"/>
        </w:sectPr>
      </w:pPr>
      <w:r>
        <w:rPr>
          <w:rFonts w:hint="eastAsia" w:ascii="楷体" w:hAnsi="楷体" w:eastAsia="楷体" w:cs="楷体"/>
          <w:sz w:val="32"/>
          <w:szCs w:val="32"/>
          <w:lang w:val="en-US" w:eastAsia="zh-CN"/>
        </w:rPr>
        <w:t>2025年7月15日</w:t>
      </w:r>
    </w:p>
    <w:p w14:paraId="2EBDCA97">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目</w:t>
      </w:r>
      <w:r>
        <w:rPr>
          <w:rFonts w:hint="eastAsia" w:ascii="黑体" w:hAnsi="黑体" w:eastAsia="黑体" w:cs="黑体"/>
          <w:sz w:val="36"/>
          <w:szCs w:val="36"/>
          <w:lang w:val="en-US" w:eastAsia="zh-CN"/>
        </w:rPr>
        <w:t xml:space="preserve">        </w:t>
      </w:r>
      <w:r>
        <w:rPr>
          <w:rFonts w:hint="eastAsia" w:ascii="黑体" w:hAnsi="黑体" w:eastAsia="黑体" w:cs="黑体"/>
          <w:sz w:val="36"/>
          <w:szCs w:val="36"/>
        </w:rPr>
        <w:t>录</w:t>
      </w:r>
    </w:p>
    <w:p w14:paraId="352A22AA">
      <w:pPr>
        <w:spacing w:before="0" w:beforeLines="0" w:after="0" w:afterLines="0" w:line="240" w:lineRule="auto"/>
        <w:ind w:left="0" w:leftChars="0" w:right="0" w:rightChars="0" w:firstLine="0" w:firstLineChars="0"/>
        <w:jc w:val="center"/>
        <w:rPr>
          <w:rFonts w:hint="eastAsia" w:ascii="黑体" w:hAnsi="黑体" w:eastAsia="黑体" w:cs="黑体"/>
          <w:sz w:val="36"/>
          <w:szCs w:val="36"/>
        </w:rPr>
      </w:pPr>
    </w:p>
    <w:p w14:paraId="3E05ABC3">
      <w:pPr>
        <w:pStyle w:val="10"/>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楷体" w:hAnsi="楷体" w:eastAsia="楷体" w:cs="楷体"/>
          <w:sz w:val="30"/>
          <w:szCs w:val="30"/>
        </w:rPr>
      </w:pPr>
      <w:r>
        <w:fldChar w:fldCharType="begin"/>
      </w:r>
      <w:r>
        <w:instrText xml:space="preserve">TOC \o "1-1" \h \u </w:instrText>
      </w:r>
      <w:r>
        <w:fldChar w:fldCharType="separate"/>
      </w: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_Toc3347 </w:instrText>
      </w:r>
      <w:r>
        <w:rPr>
          <w:rFonts w:hint="eastAsia" w:ascii="楷体" w:hAnsi="楷体" w:eastAsia="楷体" w:cs="楷体"/>
          <w:sz w:val="30"/>
          <w:szCs w:val="30"/>
        </w:rPr>
        <w:fldChar w:fldCharType="separate"/>
      </w:r>
      <w:r>
        <w:rPr>
          <w:rFonts w:hint="eastAsia" w:ascii="楷体" w:hAnsi="楷体" w:eastAsia="楷体" w:cs="楷体"/>
          <w:sz w:val="30"/>
          <w:szCs w:val="30"/>
        </w:rPr>
        <w:t>1. 国务院关于加快发展现代职业教育的决定</w:t>
      </w:r>
      <w:r>
        <w:rPr>
          <w:rFonts w:hint="eastAsia" w:ascii="楷体" w:hAnsi="楷体" w:eastAsia="楷体" w:cs="楷体"/>
          <w:sz w:val="30"/>
          <w:szCs w:val="30"/>
        </w:rPr>
        <w:tab/>
      </w: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PAGEREF _Toc3347 \h </w:instrText>
      </w:r>
      <w:r>
        <w:rPr>
          <w:rFonts w:hint="eastAsia" w:ascii="楷体" w:hAnsi="楷体" w:eastAsia="楷体" w:cs="楷体"/>
          <w:sz w:val="30"/>
          <w:szCs w:val="30"/>
        </w:rPr>
        <w:fldChar w:fldCharType="separate"/>
      </w:r>
      <w:r>
        <w:rPr>
          <w:rFonts w:hint="eastAsia" w:ascii="楷体" w:hAnsi="楷体" w:eastAsia="楷体" w:cs="楷体"/>
          <w:sz w:val="30"/>
          <w:szCs w:val="30"/>
        </w:rPr>
        <w:t>2</w:t>
      </w:r>
      <w:r>
        <w:rPr>
          <w:rFonts w:hint="eastAsia" w:ascii="楷体" w:hAnsi="楷体" w:eastAsia="楷体" w:cs="楷体"/>
          <w:sz w:val="30"/>
          <w:szCs w:val="30"/>
        </w:rPr>
        <w:fldChar w:fldCharType="end"/>
      </w:r>
      <w:r>
        <w:rPr>
          <w:rFonts w:hint="eastAsia" w:ascii="楷体" w:hAnsi="楷体" w:eastAsia="楷体" w:cs="楷体"/>
          <w:sz w:val="30"/>
          <w:szCs w:val="30"/>
        </w:rPr>
        <w:fldChar w:fldCharType="end"/>
      </w:r>
    </w:p>
    <w:p w14:paraId="19CA4718">
      <w:pPr>
        <w:pStyle w:val="10"/>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楷体" w:hAnsi="楷体" w:eastAsia="楷体" w:cs="楷体"/>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_Toc5213 </w:instrText>
      </w:r>
      <w:r>
        <w:rPr>
          <w:rFonts w:hint="eastAsia" w:ascii="楷体" w:hAnsi="楷体" w:eastAsia="楷体" w:cs="楷体"/>
          <w:sz w:val="30"/>
          <w:szCs w:val="30"/>
        </w:rPr>
        <w:fldChar w:fldCharType="separate"/>
      </w:r>
      <w:r>
        <w:rPr>
          <w:rFonts w:hint="eastAsia" w:ascii="楷体" w:hAnsi="楷体" w:eastAsia="楷体" w:cs="楷体"/>
          <w:sz w:val="30"/>
          <w:szCs w:val="30"/>
        </w:rPr>
        <w:t>2. 现代职业教育体系建设规划（2014-2020年）</w:t>
      </w:r>
      <w:r>
        <w:rPr>
          <w:rFonts w:hint="eastAsia" w:ascii="楷体" w:hAnsi="楷体" w:eastAsia="楷体" w:cs="楷体"/>
          <w:sz w:val="30"/>
          <w:szCs w:val="30"/>
        </w:rPr>
        <w:tab/>
      </w: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PAGEREF _Toc5213 \h </w:instrText>
      </w:r>
      <w:r>
        <w:rPr>
          <w:rFonts w:hint="eastAsia" w:ascii="楷体" w:hAnsi="楷体" w:eastAsia="楷体" w:cs="楷体"/>
          <w:sz w:val="30"/>
          <w:szCs w:val="30"/>
        </w:rPr>
        <w:fldChar w:fldCharType="separate"/>
      </w:r>
      <w:r>
        <w:rPr>
          <w:rFonts w:hint="eastAsia" w:ascii="楷体" w:hAnsi="楷体" w:eastAsia="楷体" w:cs="楷体"/>
          <w:sz w:val="30"/>
          <w:szCs w:val="30"/>
        </w:rPr>
        <w:t>14</w:t>
      </w:r>
      <w:r>
        <w:rPr>
          <w:rFonts w:hint="eastAsia" w:ascii="楷体" w:hAnsi="楷体" w:eastAsia="楷体" w:cs="楷体"/>
          <w:sz w:val="30"/>
          <w:szCs w:val="30"/>
        </w:rPr>
        <w:fldChar w:fldCharType="end"/>
      </w:r>
      <w:r>
        <w:rPr>
          <w:rFonts w:hint="eastAsia" w:ascii="楷体" w:hAnsi="楷体" w:eastAsia="楷体" w:cs="楷体"/>
          <w:sz w:val="30"/>
          <w:szCs w:val="30"/>
        </w:rPr>
        <w:fldChar w:fldCharType="end"/>
      </w:r>
    </w:p>
    <w:p w14:paraId="42CD32BB">
      <w:pPr>
        <w:pStyle w:val="10"/>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楷体" w:hAnsi="楷体" w:eastAsia="楷体" w:cs="楷体"/>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_Toc25795 </w:instrText>
      </w:r>
      <w:r>
        <w:rPr>
          <w:rFonts w:hint="eastAsia" w:ascii="楷体" w:hAnsi="楷体" w:eastAsia="楷体" w:cs="楷体"/>
          <w:sz w:val="30"/>
          <w:szCs w:val="30"/>
        </w:rPr>
        <w:fldChar w:fldCharType="separate"/>
      </w:r>
      <w:r>
        <w:rPr>
          <w:rFonts w:hint="eastAsia" w:ascii="楷体" w:hAnsi="楷体" w:eastAsia="楷体" w:cs="楷体"/>
          <w:sz w:val="30"/>
          <w:szCs w:val="30"/>
        </w:rPr>
        <w:t>3. 高等职业教育创新发展行动计划（2015-2018年）</w:t>
      </w:r>
      <w:r>
        <w:rPr>
          <w:rFonts w:hint="eastAsia" w:ascii="楷体" w:hAnsi="楷体" w:eastAsia="楷体" w:cs="楷体"/>
          <w:sz w:val="30"/>
          <w:szCs w:val="30"/>
        </w:rPr>
        <w:tab/>
      </w: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PAGEREF _Toc25795 \h </w:instrText>
      </w:r>
      <w:r>
        <w:rPr>
          <w:rFonts w:hint="eastAsia" w:ascii="楷体" w:hAnsi="楷体" w:eastAsia="楷体" w:cs="楷体"/>
          <w:sz w:val="30"/>
          <w:szCs w:val="30"/>
        </w:rPr>
        <w:fldChar w:fldCharType="separate"/>
      </w:r>
      <w:r>
        <w:rPr>
          <w:rFonts w:hint="eastAsia" w:ascii="楷体" w:hAnsi="楷体" w:eastAsia="楷体" w:cs="楷体"/>
          <w:sz w:val="30"/>
          <w:szCs w:val="30"/>
        </w:rPr>
        <w:t>44</w:t>
      </w:r>
      <w:r>
        <w:rPr>
          <w:rFonts w:hint="eastAsia" w:ascii="楷体" w:hAnsi="楷体" w:eastAsia="楷体" w:cs="楷体"/>
          <w:sz w:val="30"/>
          <w:szCs w:val="30"/>
        </w:rPr>
        <w:fldChar w:fldCharType="end"/>
      </w:r>
      <w:r>
        <w:rPr>
          <w:rFonts w:hint="eastAsia" w:ascii="楷体" w:hAnsi="楷体" w:eastAsia="楷体" w:cs="楷体"/>
          <w:sz w:val="30"/>
          <w:szCs w:val="30"/>
        </w:rPr>
        <w:fldChar w:fldCharType="end"/>
      </w:r>
    </w:p>
    <w:p w14:paraId="6D692868">
      <w:pPr>
        <w:pStyle w:val="10"/>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楷体" w:hAnsi="楷体" w:eastAsia="楷体" w:cs="楷体"/>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_Toc5299 </w:instrText>
      </w:r>
      <w:r>
        <w:rPr>
          <w:rFonts w:hint="eastAsia" w:ascii="楷体" w:hAnsi="楷体" w:eastAsia="楷体" w:cs="楷体"/>
          <w:sz w:val="30"/>
          <w:szCs w:val="30"/>
        </w:rPr>
        <w:fldChar w:fldCharType="separate"/>
      </w:r>
      <w:r>
        <w:rPr>
          <w:rFonts w:hint="eastAsia" w:ascii="楷体" w:hAnsi="楷体" w:eastAsia="楷体" w:cs="楷体"/>
          <w:sz w:val="30"/>
          <w:szCs w:val="30"/>
        </w:rPr>
        <w:t>4. 教育部 发展改革委 财政部关于引导部分地方普通本科高校向应用型转变的指导意见</w:t>
      </w:r>
      <w:r>
        <w:rPr>
          <w:rFonts w:hint="eastAsia" w:ascii="楷体" w:hAnsi="楷体" w:eastAsia="楷体" w:cs="楷体"/>
          <w:sz w:val="30"/>
          <w:szCs w:val="30"/>
        </w:rPr>
        <w:tab/>
      </w: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PAGEREF _Toc5299 \h </w:instrText>
      </w:r>
      <w:r>
        <w:rPr>
          <w:rFonts w:hint="eastAsia" w:ascii="楷体" w:hAnsi="楷体" w:eastAsia="楷体" w:cs="楷体"/>
          <w:sz w:val="30"/>
          <w:szCs w:val="30"/>
        </w:rPr>
        <w:fldChar w:fldCharType="separate"/>
      </w:r>
      <w:r>
        <w:rPr>
          <w:rFonts w:hint="eastAsia" w:ascii="楷体" w:hAnsi="楷体" w:eastAsia="楷体" w:cs="楷体"/>
          <w:sz w:val="30"/>
          <w:szCs w:val="30"/>
        </w:rPr>
        <w:t>64</w:t>
      </w:r>
      <w:r>
        <w:rPr>
          <w:rFonts w:hint="eastAsia" w:ascii="楷体" w:hAnsi="楷体" w:eastAsia="楷体" w:cs="楷体"/>
          <w:sz w:val="30"/>
          <w:szCs w:val="30"/>
        </w:rPr>
        <w:fldChar w:fldCharType="end"/>
      </w:r>
      <w:r>
        <w:rPr>
          <w:rFonts w:hint="eastAsia" w:ascii="楷体" w:hAnsi="楷体" w:eastAsia="楷体" w:cs="楷体"/>
          <w:sz w:val="30"/>
          <w:szCs w:val="30"/>
        </w:rPr>
        <w:fldChar w:fldCharType="end"/>
      </w:r>
    </w:p>
    <w:p w14:paraId="133D87D1">
      <w:pPr>
        <w:pStyle w:val="10"/>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楷体" w:hAnsi="楷体" w:eastAsia="楷体" w:cs="楷体"/>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_Toc26025 </w:instrText>
      </w:r>
      <w:r>
        <w:rPr>
          <w:rFonts w:hint="eastAsia" w:ascii="楷体" w:hAnsi="楷体" w:eastAsia="楷体" w:cs="楷体"/>
          <w:sz w:val="30"/>
          <w:szCs w:val="30"/>
        </w:rPr>
        <w:fldChar w:fldCharType="separate"/>
      </w:r>
      <w:r>
        <w:rPr>
          <w:rFonts w:hint="eastAsia" w:ascii="楷体" w:hAnsi="楷体" w:eastAsia="楷体" w:cs="楷体"/>
          <w:sz w:val="30"/>
          <w:szCs w:val="30"/>
        </w:rPr>
        <w:t xml:space="preserve">5. </w:t>
      </w:r>
      <w:r>
        <w:rPr>
          <w:rFonts w:hint="eastAsia" w:ascii="楷体" w:hAnsi="楷体" w:eastAsia="楷体" w:cs="楷体"/>
          <w:sz w:val="30"/>
          <w:szCs w:val="30"/>
        </w:rPr>
        <w:t>国务院印发《国家职业教育改革实施方案》的通知</w:t>
      </w:r>
      <w:r>
        <w:rPr>
          <w:rFonts w:hint="eastAsia" w:ascii="楷体" w:hAnsi="楷体" w:eastAsia="楷体" w:cs="楷体"/>
          <w:sz w:val="30"/>
          <w:szCs w:val="30"/>
        </w:rPr>
        <w:tab/>
      </w: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PAGEREF _Toc26025 \h </w:instrText>
      </w:r>
      <w:r>
        <w:rPr>
          <w:rFonts w:hint="eastAsia" w:ascii="楷体" w:hAnsi="楷体" w:eastAsia="楷体" w:cs="楷体"/>
          <w:sz w:val="30"/>
          <w:szCs w:val="30"/>
        </w:rPr>
        <w:fldChar w:fldCharType="separate"/>
      </w:r>
      <w:r>
        <w:rPr>
          <w:rFonts w:hint="eastAsia" w:ascii="楷体" w:hAnsi="楷体" w:eastAsia="楷体" w:cs="楷体"/>
          <w:sz w:val="30"/>
          <w:szCs w:val="30"/>
        </w:rPr>
        <w:t>74</w:t>
      </w:r>
      <w:r>
        <w:rPr>
          <w:rFonts w:hint="eastAsia" w:ascii="楷体" w:hAnsi="楷体" w:eastAsia="楷体" w:cs="楷体"/>
          <w:sz w:val="30"/>
          <w:szCs w:val="30"/>
        </w:rPr>
        <w:fldChar w:fldCharType="end"/>
      </w:r>
      <w:r>
        <w:rPr>
          <w:rFonts w:hint="eastAsia" w:ascii="楷体" w:hAnsi="楷体" w:eastAsia="楷体" w:cs="楷体"/>
          <w:sz w:val="30"/>
          <w:szCs w:val="30"/>
        </w:rPr>
        <w:fldChar w:fldCharType="end"/>
      </w:r>
    </w:p>
    <w:p w14:paraId="4B185A98">
      <w:pPr>
        <w:pStyle w:val="10"/>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楷体" w:hAnsi="楷体" w:eastAsia="楷体" w:cs="楷体"/>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_Toc17380 </w:instrText>
      </w:r>
      <w:r>
        <w:rPr>
          <w:rFonts w:hint="eastAsia" w:ascii="楷体" w:hAnsi="楷体" w:eastAsia="楷体" w:cs="楷体"/>
          <w:sz w:val="30"/>
          <w:szCs w:val="30"/>
        </w:rPr>
        <w:fldChar w:fldCharType="separate"/>
      </w:r>
      <w:r>
        <w:rPr>
          <w:rFonts w:hint="eastAsia" w:ascii="楷体" w:hAnsi="楷体" w:eastAsia="楷体" w:cs="楷体"/>
          <w:sz w:val="30"/>
          <w:szCs w:val="30"/>
        </w:rPr>
        <w:t>6. 教育部等九部门关于印发《职业教育提质培优行动计划（2020—2023年）》的通知</w:t>
      </w:r>
      <w:r>
        <w:rPr>
          <w:rFonts w:hint="eastAsia" w:ascii="楷体" w:hAnsi="楷体" w:eastAsia="楷体" w:cs="楷体"/>
          <w:sz w:val="30"/>
          <w:szCs w:val="30"/>
        </w:rPr>
        <w:tab/>
      </w: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PAGEREF _Toc17380 \h </w:instrText>
      </w:r>
      <w:r>
        <w:rPr>
          <w:rFonts w:hint="eastAsia" w:ascii="楷体" w:hAnsi="楷体" w:eastAsia="楷体" w:cs="楷体"/>
          <w:sz w:val="30"/>
          <w:szCs w:val="30"/>
        </w:rPr>
        <w:fldChar w:fldCharType="separate"/>
      </w:r>
      <w:r>
        <w:rPr>
          <w:rFonts w:hint="eastAsia" w:ascii="楷体" w:hAnsi="楷体" w:eastAsia="楷体" w:cs="楷体"/>
          <w:sz w:val="30"/>
          <w:szCs w:val="30"/>
        </w:rPr>
        <w:t>88</w:t>
      </w:r>
      <w:r>
        <w:rPr>
          <w:rFonts w:hint="eastAsia" w:ascii="楷体" w:hAnsi="楷体" w:eastAsia="楷体" w:cs="楷体"/>
          <w:sz w:val="30"/>
          <w:szCs w:val="30"/>
        </w:rPr>
        <w:fldChar w:fldCharType="end"/>
      </w:r>
      <w:r>
        <w:rPr>
          <w:rFonts w:hint="eastAsia" w:ascii="楷体" w:hAnsi="楷体" w:eastAsia="楷体" w:cs="楷体"/>
          <w:sz w:val="30"/>
          <w:szCs w:val="30"/>
        </w:rPr>
        <w:fldChar w:fldCharType="end"/>
      </w:r>
    </w:p>
    <w:p w14:paraId="3A528090">
      <w:pPr>
        <w:pStyle w:val="10"/>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楷体" w:hAnsi="楷体" w:eastAsia="楷体" w:cs="楷体"/>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_Toc7052 </w:instrText>
      </w:r>
      <w:r>
        <w:rPr>
          <w:rFonts w:hint="eastAsia" w:ascii="楷体" w:hAnsi="楷体" w:eastAsia="楷体" w:cs="楷体"/>
          <w:sz w:val="30"/>
          <w:szCs w:val="30"/>
        </w:rPr>
        <w:fldChar w:fldCharType="separate"/>
      </w:r>
      <w:r>
        <w:rPr>
          <w:rFonts w:hint="eastAsia" w:ascii="楷体" w:hAnsi="楷体" w:eastAsia="楷体" w:cs="楷体"/>
          <w:sz w:val="30"/>
          <w:szCs w:val="30"/>
          <w:lang w:val="en-US" w:eastAsia="zh-CN"/>
        </w:rPr>
        <w:t>7. 教育部关于印发《本科层次职业学校设置标准（试行）》的通知</w:t>
      </w:r>
      <w:r>
        <w:rPr>
          <w:rFonts w:hint="eastAsia" w:ascii="楷体" w:hAnsi="楷体" w:eastAsia="楷体" w:cs="楷体"/>
          <w:sz w:val="30"/>
          <w:szCs w:val="30"/>
        </w:rPr>
        <w:tab/>
      </w: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PAGEREF _Toc7052 \h </w:instrText>
      </w:r>
      <w:r>
        <w:rPr>
          <w:rFonts w:hint="eastAsia" w:ascii="楷体" w:hAnsi="楷体" w:eastAsia="楷体" w:cs="楷体"/>
          <w:sz w:val="30"/>
          <w:szCs w:val="30"/>
        </w:rPr>
        <w:fldChar w:fldCharType="separate"/>
      </w:r>
      <w:r>
        <w:rPr>
          <w:rFonts w:hint="eastAsia" w:ascii="楷体" w:hAnsi="楷体" w:eastAsia="楷体" w:cs="楷体"/>
          <w:sz w:val="30"/>
          <w:szCs w:val="30"/>
        </w:rPr>
        <w:t>110</w:t>
      </w:r>
      <w:r>
        <w:rPr>
          <w:rFonts w:hint="eastAsia" w:ascii="楷体" w:hAnsi="楷体" w:eastAsia="楷体" w:cs="楷体"/>
          <w:sz w:val="30"/>
          <w:szCs w:val="30"/>
        </w:rPr>
        <w:fldChar w:fldCharType="end"/>
      </w:r>
      <w:r>
        <w:rPr>
          <w:rFonts w:hint="eastAsia" w:ascii="楷体" w:hAnsi="楷体" w:eastAsia="楷体" w:cs="楷体"/>
          <w:sz w:val="30"/>
          <w:szCs w:val="30"/>
        </w:rPr>
        <w:fldChar w:fldCharType="end"/>
      </w:r>
    </w:p>
    <w:p w14:paraId="6A9C02E1">
      <w:pPr>
        <w:pStyle w:val="10"/>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楷体" w:hAnsi="楷体" w:eastAsia="楷体" w:cs="楷体"/>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_Toc19583 </w:instrText>
      </w:r>
      <w:r>
        <w:rPr>
          <w:rFonts w:hint="eastAsia" w:ascii="楷体" w:hAnsi="楷体" w:eastAsia="楷体" w:cs="楷体"/>
          <w:sz w:val="30"/>
          <w:szCs w:val="30"/>
        </w:rPr>
        <w:fldChar w:fldCharType="separate"/>
      </w:r>
      <w:r>
        <w:rPr>
          <w:rFonts w:hint="eastAsia" w:ascii="楷体" w:hAnsi="楷体" w:eastAsia="楷体" w:cs="楷体"/>
          <w:sz w:val="30"/>
          <w:szCs w:val="30"/>
          <w:lang w:val="en-US" w:eastAsia="zh-CN"/>
        </w:rPr>
        <w:t>8. 教育部办公厅关于印发《本科层次职业教育专业设置管理办法（试行）》的通知</w:t>
      </w:r>
      <w:r>
        <w:rPr>
          <w:rFonts w:hint="eastAsia" w:ascii="楷体" w:hAnsi="楷体" w:eastAsia="楷体" w:cs="楷体"/>
          <w:sz w:val="30"/>
          <w:szCs w:val="30"/>
        </w:rPr>
        <w:tab/>
      </w: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PAGEREF _Toc19583 \h </w:instrText>
      </w:r>
      <w:r>
        <w:rPr>
          <w:rFonts w:hint="eastAsia" w:ascii="楷体" w:hAnsi="楷体" w:eastAsia="楷体" w:cs="楷体"/>
          <w:sz w:val="30"/>
          <w:szCs w:val="30"/>
        </w:rPr>
        <w:fldChar w:fldCharType="separate"/>
      </w:r>
      <w:r>
        <w:rPr>
          <w:rFonts w:hint="eastAsia" w:ascii="楷体" w:hAnsi="楷体" w:eastAsia="楷体" w:cs="楷体"/>
          <w:sz w:val="30"/>
          <w:szCs w:val="30"/>
        </w:rPr>
        <w:t>114</w:t>
      </w:r>
      <w:r>
        <w:rPr>
          <w:rFonts w:hint="eastAsia" w:ascii="楷体" w:hAnsi="楷体" w:eastAsia="楷体" w:cs="楷体"/>
          <w:sz w:val="30"/>
          <w:szCs w:val="30"/>
        </w:rPr>
        <w:fldChar w:fldCharType="end"/>
      </w:r>
      <w:r>
        <w:rPr>
          <w:rFonts w:hint="eastAsia" w:ascii="楷体" w:hAnsi="楷体" w:eastAsia="楷体" w:cs="楷体"/>
          <w:sz w:val="30"/>
          <w:szCs w:val="30"/>
        </w:rPr>
        <w:fldChar w:fldCharType="end"/>
      </w:r>
    </w:p>
    <w:p w14:paraId="572C2691">
      <w:pPr>
        <w:pStyle w:val="10"/>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楷体" w:hAnsi="楷体" w:eastAsia="楷体" w:cs="楷体"/>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_Toc9493 </w:instrText>
      </w:r>
      <w:r>
        <w:rPr>
          <w:rFonts w:hint="eastAsia" w:ascii="楷体" w:hAnsi="楷体" w:eastAsia="楷体" w:cs="楷体"/>
          <w:sz w:val="30"/>
          <w:szCs w:val="30"/>
        </w:rPr>
        <w:fldChar w:fldCharType="separate"/>
      </w:r>
      <w:r>
        <w:rPr>
          <w:rFonts w:hint="eastAsia" w:ascii="楷体" w:hAnsi="楷体" w:eastAsia="楷体" w:cs="楷体"/>
          <w:sz w:val="30"/>
          <w:szCs w:val="30"/>
          <w:lang w:val="en-US" w:eastAsia="zh-CN"/>
        </w:rPr>
        <w:t>9. 中共中央办公厅 国务院办公厅印发《关于推动现代职业教育高质量发展的意见》</w:t>
      </w:r>
      <w:r>
        <w:rPr>
          <w:rFonts w:hint="eastAsia" w:ascii="楷体" w:hAnsi="楷体" w:eastAsia="楷体" w:cs="楷体"/>
          <w:sz w:val="30"/>
          <w:szCs w:val="30"/>
        </w:rPr>
        <w:tab/>
      </w: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PAGEREF _Toc9493 \h </w:instrText>
      </w:r>
      <w:r>
        <w:rPr>
          <w:rFonts w:hint="eastAsia" w:ascii="楷体" w:hAnsi="楷体" w:eastAsia="楷体" w:cs="楷体"/>
          <w:sz w:val="30"/>
          <w:szCs w:val="30"/>
        </w:rPr>
        <w:fldChar w:fldCharType="separate"/>
      </w:r>
      <w:r>
        <w:rPr>
          <w:rFonts w:hint="eastAsia" w:ascii="楷体" w:hAnsi="楷体" w:eastAsia="楷体" w:cs="楷体"/>
          <w:sz w:val="30"/>
          <w:szCs w:val="30"/>
        </w:rPr>
        <w:t>120</w:t>
      </w:r>
      <w:r>
        <w:rPr>
          <w:rFonts w:hint="eastAsia" w:ascii="楷体" w:hAnsi="楷体" w:eastAsia="楷体" w:cs="楷体"/>
          <w:sz w:val="30"/>
          <w:szCs w:val="30"/>
        </w:rPr>
        <w:fldChar w:fldCharType="end"/>
      </w:r>
      <w:r>
        <w:rPr>
          <w:rFonts w:hint="eastAsia" w:ascii="楷体" w:hAnsi="楷体" w:eastAsia="楷体" w:cs="楷体"/>
          <w:sz w:val="30"/>
          <w:szCs w:val="30"/>
        </w:rPr>
        <w:fldChar w:fldCharType="end"/>
      </w:r>
    </w:p>
    <w:p w14:paraId="467677E8">
      <w:pPr>
        <w:pStyle w:val="10"/>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rPr>
          <w:rFonts w:hint="eastAsia" w:ascii="楷体" w:hAnsi="楷体" w:eastAsia="楷体" w:cs="楷体"/>
          <w:sz w:val="30"/>
          <w:szCs w:val="30"/>
        </w:rPr>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_Toc24438 </w:instrText>
      </w:r>
      <w:r>
        <w:rPr>
          <w:rFonts w:hint="eastAsia" w:ascii="楷体" w:hAnsi="楷体" w:eastAsia="楷体" w:cs="楷体"/>
          <w:sz w:val="30"/>
          <w:szCs w:val="30"/>
        </w:rPr>
        <w:fldChar w:fldCharType="separate"/>
      </w:r>
      <w:r>
        <w:rPr>
          <w:rFonts w:hint="eastAsia" w:ascii="楷体" w:hAnsi="楷体" w:eastAsia="楷体" w:cs="楷体"/>
          <w:sz w:val="30"/>
          <w:szCs w:val="30"/>
          <w:lang w:val="en-US" w:eastAsia="zh-CN"/>
        </w:rPr>
        <w:t>10. 关于做好本科层次职业学校学士学位授权与授予工作的意见</w:t>
      </w:r>
      <w:r>
        <w:rPr>
          <w:rFonts w:hint="eastAsia" w:ascii="楷体" w:hAnsi="楷体" w:eastAsia="楷体" w:cs="楷体"/>
          <w:sz w:val="30"/>
          <w:szCs w:val="30"/>
        </w:rPr>
        <w:tab/>
      </w: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PAGEREF _Toc24438 \h </w:instrText>
      </w:r>
      <w:r>
        <w:rPr>
          <w:rFonts w:hint="eastAsia" w:ascii="楷体" w:hAnsi="楷体" w:eastAsia="楷体" w:cs="楷体"/>
          <w:sz w:val="30"/>
          <w:szCs w:val="30"/>
        </w:rPr>
        <w:fldChar w:fldCharType="separate"/>
      </w:r>
      <w:r>
        <w:rPr>
          <w:rFonts w:hint="eastAsia" w:ascii="楷体" w:hAnsi="楷体" w:eastAsia="楷体" w:cs="楷体"/>
          <w:sz w:val="30"/>
          <w:szCs w:val="30"/>
        </w:rPr>
        <w:t>128</w:t>
      </w:r>
      <w:r>
        <w:rPr>
          <w:rFonts w:hint="eastAsia" w:ascii="楷体" w:hAnsi="楷体" w:eastAsia="楷体" w:cs="楷体"/>
          <w:sz w:val="30"/>
          <w:szCs w:val="30"/>
        </w:rPr>
        <w:fldChar w:fldCharType="end"/>
      </w:r>
      <w:r>
        <w:rPr>
          <w:rFonts w:hint="eastAsia" w:ascii="楷体" w:hAnsi="楷体" w:eastAsia="楷体" w:cs="楷体"/>
          <w:sz w:val="30"/>
          <w:szCs w:val="30"/>
        </w:rPr>
        <w:fldChar w:fldCharType="end"/>
      </w:r>
    </w:p>
    <w:p w14:paraId="2174CCAB">
      <w:pPr>
        <w:pStyle w:val="10"/>
        <w:keepNext w:val="0"/>
        <w:keepLines w:val="0"/>
        <w:pageBreakBefore w:val="0"/>
        <w:widowControl w:val="0"/>
        <w:tabs>
          <w:tab w:val="right" w:leader="dot" w:pos="8306"/>
        </w:tabs>
        <w:kinsoku/>
        <w:wordWrap/>
        <w:overflowPunct/>
        <w:topLinePunct w:val="0"/>
        <w:autoSpaceDE/>
        <w:autoSpaceDN/>
        <w:bidi w:val="0"/>
        <w:adjustRightInd w:val="0"/>
        <w:snapToGrid w:val="0"/>
        <w:spacing w:line="360" w:lineRule="auto"/>
        <w:textAlignment w:val="auto"/>
      </w:pP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HYPERLINK \l _Toc4247 </w:instrText>
      </w:r>
      <w:r>
        <w:rPr>
          <w:rFonts w:hint="eastAsia" w:ascii="楷体" w:hAnsi="楷体" w:eastAsia="楷体" w:cs="楷体"/>
          <w:sz w:val="30"/>
          <w:szCs w:val="30"/>
        </w:rPr>
        <w:fldChar w:fldCharType="separate"/>
      </w:r>
      <w:r>
        <w:rPr>
          <w:rFonts w:hint="eastAsia" w:ascii="楷体" w:hAnsi="楷体" w:eastAsia="楷体" w:cs="楷体"/>
          <w:bCs/>
          <w:sz w:val="30"/>
          <w:szCs w:val="30"/>
          <w:lang w:val="en-US" w:eastAsia="zh-CN"/>
        </w:rPr>
        <w:t>11. 中华人民共和国职业教育法</w:t>
      </w:r>
      <w:r>
        <w:rPr>
          <w:rFonts w:hint="eastAsia" w:ascii="楷体" w:hAnsi="楷体" w:eastAsia="楷体" w:cs="楷体"/>
          <w:sz w:val="30"/>
          <w:szCs w:val="30"/>
        </w:rPr>
        <w:tab/>
      </w:r>
      <w:r>
        <w:rPr>
          <w:rFonts w:hint="eastAsia" w:ascii="楷体" w:hAnsi="楷体" w:eastAsia="楷体" w:cs="楷体"/>
          <w:sz w:val="30"/>
          <w:szCs w:val="30"/>
        </w:rPr>
        <w:fldChar w:fldCharType="begin"/>
      </w:r>
      <w:r>
        <w:rPr>
          <w:rFonts w:hint="eastAsia" w:ascii="楷体" w:hAnsi="楷体" w:eastAsia="楷体" w:cs="楷体"/>
          <w:sz w:val="30"/>
          <w:szCs w:val="30"/>
        </w:rPr>
        <w:instrText xml:space="preserve"> PAGEREF _Toc4247 \h </w:instrText>
      </w:r>
      <w:r>
        <w:rPr>
          <w:rFonts w:hint="eastAsia" w:ascii="楷体" w:hAnsi="楷体" w:eastAsia="楷体" w:cs="楷体"/>
          <w:sz w:val="30"/>
          <w:szCs w:val="30"/>
        </w:rPr>
        <w:fldChar w:fldCharType="separate"/>
      </w:r>
      <w:r>
        <w:rPr>
          <w:rFonts w:hint="eastAsia" w:ascii="楷体" w:hAnsi="楷体" w:eastAsia="楷体" w:cs="楷体"/>
          <w:sz w:val="30"/>
          <w:szCs w:val="30"/>
        </w:rPr>
        <w:t>131</w:t>
      </w:r>
      <w:r>
        <w:rPr>
          <w:rFonts w:hint="eastAsia" w:ascii="楷体" w:hAnsi="楷体" w:eastAsia="楷体" w:cs="楷体"/>
          <w:sz w:val="30"/>
          <w:szCs w:val="30"/>
        </w:rPr>
        <w:fldChar w:fldCharType="end"/>
      </w:r>
      <w:r>
        <w:rPr>
          <w:rFonts w:hint="eastAsia" w:ascii="楷体" w:hAnsi="楷体" w:eastAsia="楷体" w:cs="楷体"/>
          <w:sz w:val="30"/>
          <w:szCs w:val="30"/>
        </w:rPr>
        <w:fldChar w:fldCharType="end"/>
      </w:r>
    </w:p>
    <w:p w14:paraId="76E84345">
      <w:r>
        <w:fldChar w:fldCharType="end"/>
      </w:r>
    </w:p>
    <w:p w14:paraId="1A52885F"/>
    <w:p w14:paraId="32E46455">
      <w:pPr>
        <w:rPr>
          <w:rFonts w:hint="eastAsia"/>
        </w:rPr>
      </w:pPr>
      <w:r>
        <w:rPr>
          <w:rFonts w:hint="eastAsia"/>
        </w:rPr>
        <w:br w:type="page"/>
      </w:r>
    </w:p>
    <w:p w14:paraId="1CC81811">
      <w:pPr>
        <w:pStyle w:val="2"/>
        <w:numPr>
          <w:ilvl w:val="0"/>
          <w:numId w:val="1"/>
        </w:numPr>
        <w:bidi w:val="0"/>
        <w:rPr>
          <w:rFonts w:hint="eastAsia"/>
        </w:rPr>
      </w:pPr>
      <w:bookmarkStart w:id="3" w:name="_Toc3347"/>
      <w:r>
        <w:rPr>
          <w:rFonts w:hint="eastAsia"/>
        </w:rPr>
        <w:t>国务院关于加快发展现代职业教育的决定</w:t>
      </w:r>
      <w:bookmarkEnd w:id="0"/>
      <w:bookmarkEnd w:id="1"/>
      <w:bookmarkEnd w:id="2"/>
      <w:bookmarkEnd w:id="3"/>
    </w:p>
    <w:p w14:paraId="7C766CE5">
      <w:pPr>
        <w:numPr>
          <w:numId w:val="0"/>
        </w:numPr>
        <w:rPr>
          <w:rFonts w:hint="eastAsia"/>
        </w:rPr>
      </w:pPr>
    </w:p>
    <w:p w14:paraId="78DC2048">
      <w:pPr>
        <w:keepNext w:val="0"/>
        <w:keepLines w:val="0"/>
        <w:pageBreakBefore w:val="0"/>
        <w:widowControl w:val="0"/>
        <w:numPr>
          <w:numId w:val="0"/>
        </w:numPr>
        <w:kinsoku/>
        <w:wordWrap/>
        <w:overflowPunct/>
        <w:topLinePunct w:val="0"/>
        <w:autoSpaceDE/>
        <w:autoSpaceDN/>
        <w:bidi w:val="0"/>
        <w:adjustRightInd w:val="0"/>
        <w:snapToGrid w:val="0"/>
        <w:spacing w:line="540" w:lineRule="exact"/>
        <w:jc w:val="center"/>
        <w:textAlignment w:val="auto"/>
        <w:rPr>
          <w:rFonts w:hint="eastAsia"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国务院关于加快发展现代职业教育的决定</w:t>
      </w:r>
    </w:p>
    <w:p w14:paraId="7B81D709">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right"/>
        <w:textAlignment w:val="auto"/>
        <w:rPr>
          <w:rFonts w:hint="eastAsia" w:ascii="楷体" w:hAnsi="楷体" w:eastAsia="楷体" w:cs="楷体"/>
          <w:sz w:val="30"/>
          <w:szCs w:val="30"/>
          <w:lang w:val="en-US" w:eastAsia="zh-CN"/>
        </w:rPr>
      </w:pPr>
    </w:p>
    <w:p w14:paraId="3DC01D16">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right"/>
        <w:textAlignment w:val="auto"/>
        <w:rPr>
          <w:rFonts w:hint="eastAsia" w:ascii="楷体" w:hAnsi="楷体" w:eastAsia="楷体" w:cs="楷体"/>
          <w:sz w:val="30"/>
          <w:szCs w:val="30"/>
          <w:lang w:val="en-US" w:eastAsia="zh-CN"/>
        </w:rPr>
      </w:pPr>
      <w:r>
        <w:rPr>
          <w:rFonts w:hint="eastAsia" w:ascii="楷体" w:hAnsi="楷体" w:eastAsia="楷体" w:cs="楷体"/>
          <w:sz w:val="30"/>
          <w:szCs w:val="30"/>
          <w:lang w:val="en-US" w:eastAsia="zh-CN"/>
        </w:rPr>
        <w:t>国发〔2014〕19号</w:t>
      </w:r>
    </w:p>
    <w:p w14:paraId="4458C66C">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0" w:firstLineChars="0"/>
        <w:textAlignment w:val="auto"/>
        <w:rPr>
          <w:rFonts w:hint="eastAsia" w:ascii="楷体" w:hAnsi="楷体" w:eastAsia="楷体" w:cs="楷体"/>
          <w:sz w:val="30"/>
          <w:szCs w:val="30"/>
          <w:lang w:val="en-US" w:eastAsia="zh-CN"/>
        </w:rPr>
      </w:pPr>
    </w:p>
    <w:p w14:paraId="107C3F76">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0" w:firstLineChars="0"/>
        <w:textAlignment w:val="auto"/>
        <w:rPr>
          <w:rFonts w:hint="eastAsia" w:ascii="楷体" w:hAnsi="楷体" w:eastAsia="楷体" w:cs="楷体"/>
          <w:sz w:val="30"/>
          <w:szCs w:val="30"/>
          <w:lang w:val="en-US" w:eastAsia="zh-CN"/>
        </w:rPr>
      </w:pPr>
      <w:r>
        <w:rPr>
          <w:rFonts w:hint="eastAsia" w:ascii="楷体" w:hAnsi="楷体" w:eastAsia="楷体" w:cs="楷体"/>
          <w:sz w:val="30"/>
          <w:szCs w:val="30"/>
          <w:lang w:val="en-US" w:eastAsia="zh-CN"/>
        </w:rPr>
        <w:t>各省、自治区、直辖市人民政府，国务院各部委、各直属机构：</w:t>
      </w:r>
    </w:p>
    <w:p w14:paraId="1EFE2619">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sz w:val="30"/>
          <w:szCs w:val="30"/>
          <w:lang w:val="en-US" w:eastAsia="zh-CN"/>
        </w:rPr>
        <w:t>近年来，我国职业教育事业快速发展，体系建设稳步推进，培养培训了大批中高级技能型人才，为提高劳动者素质、推动经济社会发展和促进就业作出了重要贡献。同时也要看到，当前职业教育还不能完全适应经济社会发展的需要，结构不尽合理，质量有待提高，办学条件薄弱，体制机制不畅。加快发展现代职业教育，是党中央、国务院作出的重大战略部署，对于深入实施创新驱动发展战略，创造更大人才红利，加快转方式、调结构、促升级具有十分重要的意义。现就加快发展现代职业教育作出以下决定。</w:t>
      </w:r>
    </w:p>
    <w:p w14:paraId="6E005429">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黑体" w:hAnsi="黑体" w:eastAsia="黑体" w:cs="黑体"/>
          <w:sz w:val="30"/>
          <w:szCs w:val="30"/>
          <w:lang w:val="en-US" w:eastAsia="zh-CN"/>
        </w:rPr>
        <w:t>一、总体要求</w:t>
      </w:r>
    </w:p>
    <w:p w14:paraId="1BEBC620">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（一）指导思想。</w:t>
      </w:r>
      <w:r>
        <w:rPr>
          <w:rFonts w:hint="eastAsia" w:ascii="仿宋_GB2312" w:hAnsi="仿宋_GB2312" w:eastAsia="仿宋_GB2312" w:cs="仿宋_GB2312"/>
          <w:sz w:val="30"/>
          <w:szCs w:val="30"/>
          <w:lang w:val="en-US" w:eastAsia="zh-CN"/>
        </w:rPr>
        <w:t>以邓小平理论、“三个代表”重要思想、科学发展观为指导，坚持以立德树人为根本，以服务发展为宗旨，以促进就业为导向，适应技术进步和生产方式变革以及社会公共服务的需要，深化体制机制改革，统筹发挥好政府和市场的作用，加快现代职业教育体系建设，深化产教融合、校企合作，培养数以亿计的高素质劳动者和技术技能人才。</w:t>
      </w:r>
    </w:p>
    <w:p w14:paraId="103C1BFF">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（二）基本原则。</w:t>
      </w:r>
    </w:p>
    <w:p w14:paraId="23875114">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政府推动、市场引导。发挥好政府保基本、促公平作用，着力营造制度环境、制定发展规划、改善基本办学条件、加强规范管理和监督指导等。充分发挥市场机制作用，引导社会力量参与办学，扩大优质教育资源，激发学校发展活力，促进职业教育与社会需求紧密对接。</w:t>
      </w:r>
    </w:p>
    <w:p w14:paraId="2AA1B278">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加强统筹、分类指导。牢固确立职业教育在国家人才培养体系中的重要位置，统筹发展各级各类职业教育，坚持学校教育和职业培训并举。强化省级人民政府统筹和部门协调配合，加强行业部门对本部门、本行业职业教育的指导。推动公办与民办职业教育共同发展。</w:t>
      </w:r>
    </w:p>
    <w:p w14:paraId="13221BA4">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服务需求、就业导向。服务经济社会发展和人的全面发展，推动专业设置与产业需求对接，课程内容与职业标准对接，教学过程与生产过程对接，毕业证书与职业资格证书对接，职业教育与终身学习对接。重点提高青年就业能力。</w:t>
      </w:r>
    </w:p>
    <w:p w14:paraId="35C6D8F6">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——产教融合、特色办学。同步规划职业教育与经济社会发展，协调推进人力资源开发与技术进步，推动教育教学改革与产业转型升级衔接配套。突出职业院校办学特色，强化校企协同育人。</w:t>
      </w:r>
    </w:p>
    <w:p w14:paraId="155021CE">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系统培养、多样成才。推进中等和高等职业教育紧密衔接，发挥中等职业教育在发展现代职业教育中的基础性作用，发挥高等职业教育在优化高等教育结构中的重要作用。加强职业教育与普通教育沟通，为学生多样化选择、多路径成才搭建“立交桥”。</w:t>
      </w:r>
    </w:p>
    <w:p w14:paraId="5FF676B8">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（三）目标任务。</w:t>
      </w:r>
      <w:r>
        <w:rPr>
          <w:rFonts w:hint="eastAsia" w:ascii="仿宋_GB2312" w:hAnsi="仿宋_GB2312" w:eastAsia="仿宋_GB2312" w:cs="仿宋_GB2312"/>
          <w:sz w:val="30"/>
          <w:szCs w:val="30"/>
          <w:lang w:val="en-US" w:eastAsia="zh-CN"/>
        </w:rPr>
        <w:t>到2020年，形成适应发展需求、产教深度融合、中职高职衔接、职业教育与普通教育相互沟通，体现终身教育理念，具有中国特色、世界水平的现代职业教育体系。</w:t>
      </w:r>
    </w:p>
    <w:p w14:paraId="38FA860F">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结构规模更加合理。总体保持中等职业学校和普通高中招生规模大体相当，高等职业教育规模占高等教育的一半以上，总体教育结构更加合理。到2020年，中等职业教育在校生达到2350万人，专科层次职业教育在校生达到1480万人，接受本科层次职业教育的学生达到一定规模。从业人员继续教育达到3.5亿人次。</w:t>
      </w:r>
    </w:p>
    <w:p w14:paraId="72A149EA">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院校布局和专业设置更加适应经济社会需求。调整完善职业院校区域布局，科学合理设置专业，健全专业随产业发展动态调整的机制，重点提升面向现代农业、先进制造业、现代服务业、战略性新兴产业和社会管理、生态文明建设等领域的人才培养能力。</w:t>
      </w:r>
    </w:p>
    <w:p w14:paraId="06C86CCF">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职业院校办学水平普遍提高。各类专业的人才培养水平大幅提升，办学条件明显改善，实训设备配置水平与技术进步要求更加适应，现代信息技术广泛应用。专兼结合的“双师型”教师队伍建设进展显著。建成一批世界一流的职业院校和骨干专业，形成具有国际竞争力的人才培养高地。</w:t>
      </w:r>
    </w:p>
    <w:p w14:paraId="61420092">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Style w:val="14"/>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发展环境更加优化。现代职业教育制度基本建立，政策法规更加健全，相关标准更加科学规范，监管机制更加完善。引导和鼓励社会力量参与的政策更加健全。全社会人才观念显著改善，支持和参与职业教育的氛围更加浓厚。</w:t>
      </w:r>
    </w:p>
    <w:p w14:paraId="3D8E38AB">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二、加快构建现代职业教育体系</w:t>
      </w:r>
    </w:p>
    <w:p w14:paraId="130CEAF3">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（四）巩固提高中等职业教育发展水平。</w:t>
      </w:r>
      <w:r>
        <w:rPr>
          <w:rFonts w:hint="eastAsia" w:ascii="仿宋_GB2312" w:hAnsi="仿宋_GB2312" w:eastAsia="仿宋_GB2312" w:cs="仿宋_GB2312"/>
          <w:sz w:val="30"/>
          <w:szCs w:val="30"/>
          <w:lang w:val="en-US" w:eastAsia="zh-CN"/>
        </w:rPr>
        <w:t>各地要统筹做好中等职业学校和普通高中招生工作，落实好职普招生大体相当的要求，加快普及高中阶段教育。鼓励优质学校通过兼并、托管、合作办学等形式，整合办学资源，优化中等职业教育布局结构。推进县级职教中心等中等职业学校与城市院校、科研机构对口合作，实施学历教育、技术推广、扶贫开发、劳动力转移培训和社会生活教育。在保障学生技术技能培养质量的基础上，加强文化基础教育，实现就业有能力、升学有基础。有条件的普通高中要适当增加职业技术教育内容。</w:t>
      </w:r>
    </w:p>
    <w:p w14:paraId="56E19AC6">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（五）创新发展高等职业教育。</w:t>
      </w:r>
      <w:r>
        <w:rPr>
          <w:rFonts w:hint="eastAsia" w:ascii="仿宋_GB2312" w:hAnsi="仿宋_GB2312" w:eastAsia="仿宋_GB2312" w:cs="仿宋_GB2312"/>
          <w:sz w:val="30"/>
          <w:szCs w:val="30"/>
          <w:lang w:val="en-US" w:eastAsia="zh-CN"/>
        </w:rPr>
        <w:t>专科高等职业院校要密切产学研合作，培养服务区域发展的技术技能人才，重点服务企业特别是中小微企业的技术研发和产品升级，加强社区教育和终身学习服务。探索发展本科层次职业教育。建立以职业需求为导向、以实践能力培养为重点、以产学结合为途径的专业学位研究生培养模式。研究建立符合职业教育特点的学位制度。原则上中等职业学校不升格为或并入高等职业院校，专科高等职业院校不升格为或并入本科高等学校，形成定位清晰、科学合理的职业教育层次结构。</w:t>
      </w:r>
    </w:p>
    <w:p w14:paraId="5F80CE9F">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（六）引导普通本科高等学校转型发展。</w:t>
      </w:r>
      <w:r>
        <w:rPr>
          <w:rFonts w:hint="eastAsia" w:ascii="仿宋_GB2312" w:hAnsi="仿宋_GB2312" w:eastAsia="仿宋_GB2312" w:cs="仿宋_GB2312"/>
          <w:sz w:val="30"/>
          <w:szCs w:val="30"/>
          <w:lang w:val="en-US" w:eastAsia="zh-CN"/>
        </w:rPr>
        <w:t>采取试点推动、示范引领等方式，引导一批普通本科高等学校向应用技术类型高等学校转型，重点举办本科职业教育。独立学院转设为独立设置高等学校时，鼓励其定位为应用技术类型高等学校。建立高等学校分类体系，实行分类管理，加快建立分类设置、评价、指导、拨款制度。招生、投入等政策措施向应用技术类型高等学校倾斜。</w:t>
      </w:r>
    </w:p>
    <w:p w14:paraId="4E2D2D53">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（七）完善职业教育人才多样化成长渠道。</w:t>
      </w:r>
      <w:r>
        <w:rPr>
          <w:rFonts w:hint="eastAsia" w:ascii="仿宋_GB2312" w:hAnsi="仿宋_GB2312" w:eastAsia="仿宋_GB2312" w:cs="仿宋_GB2312"/>
          <w:sz w:val="30"/>
          <w:szCs w:val="30"/>
          <w:lang w:val="en-US" w:eastAsia="zh-CN"/>
        </w:rPr>
        <w:t>健全“文化素质+职业技能”、单独招生、综合评价招生和技能拔尖人才免试等考试招生办法，为学生接受不同层次高等职业教育提供多种机会。在学前教育、护理、健康服务、社区服务等领域，健全对初中毕业生实行中高职贯通培养的考试招生办法。适度提高专科高等职业院校招收中等职业学校毕业生的比例、本科高等学校招收职业院校毕业生的比例。逐步扩大高等职业院校招收有实践经历人员的比例。建立学分积累与转换制度，推进学习成果互认衔接。</w:t>
      </w:r>
    </w:p>
    <w:p w14:paraId="5667F517">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（八）积极发展多种形式的继续教育。</w:t>
      </w:r>
      <w:r>
        <w:rPr>
          <w:rFonts w:hint="eastAsia" w:ascii="仿宋_GB2312" w:hAnsi="仿宋_GB2312" w:eastAsia="仿宋_GB2312" w:cs="仿宋_GB2312"/>
          <w:sz w:val="30"/>
          <w:szCs w:val="30"/>
          <w:lang w:val="en-US" w:eastAsia="zh-CN"/>
        </w:rPr>
        <w:t>建立有利于全体劳动者接受职业教育和培训的灵活学习制度，服务全民学习、终身学习，推进学习型社会建设。面向未升学初高中毕业生、残疾人、失业人员等群体广泛开展职业教育和培训。推进农民继续教育工程，加强涉农专业、课程和教材建设，创新农学结合模式。推动一批县（市、区）在农村职业教育和成人教育改革发展方面发挥示范作用。利用职业院校资源广泛开展职工教育培训。重视培养军地两用人才。退役士兵接受职业教育和培训，按照国家有关规定享受优待。</w:t>
      </w:r>
    </w:p>
    <w:p w14:paraId="4E687361">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三、激发职业教育办学活力</w:t>
      </w:r>
    </w:p>
    <w:p w14:paraId="44881583">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（九）引导支持社会力量兴办职业教育。</w:t>
      </w:r>
      <w:r>
        <w:rPr>
          <w:rFonts w:hint="eastAsia" w:ascii="仿宋_GB2312" w:hAnsi="仿宋_GB2312" w:eastAsia="仿宋_GB2312" w:cs="仿宋_GB2312"/>
          <w:sz w:val="30"/>
          <w:szCs w:val="30"/>
          <w:lang w:val="en-US" w:eastAsia="zh-CN"/>
        </w:rPr>
        <w:t>创新民办职业教育办学模式，积极支持各类办学主体通过独资、合资、合作等多种形式举办民办职业教育；探索发展股份制、混合所有制职业院校，允许以资本、知识、技术、管理等要素参与办学并享有相应权利。探索公办和社会力量举办的职业院校相互委托管理和购买服务的机制。引导社会力量参与教学过程，共同开发课程和教材等教育资源。社会力量举办的职业院校与公办职业院校具有同等法律地位，依法享受相关教育、财税、土地、金融等政策。健全政府补贴、购买服务、助学贷款、基金奖励、捐资激励等制度，鼓励社会力量参与职业教育办学、管理和评价。</w:t>
      </w:r>
    </w:p>
    <w:p w14:paraId="653EE46E">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（十）健全企业参与制度。</w:t>
      </w:r>
      <w:r>
        <w:rPr>
          <w:rFonts w:hint="eastAsia" w:ascii="仿宋_GB2312" w:hAnsi="仿宋_GB2312" w:eastAsia="仿宋_GB2312" w:cs="仿宋_GB2312"/>
          <w:sz w:val="30"/>
          <w:szCs w:val="30"/>
          <w:lang w:val="en-US" w:eastAsia="zh-CN"/>
        </w:rPr>
        <w:t>研究制定促进校企合作办学有关法规和激励政策，深化产教融合，鼓励行业和企业举办或参与举办职业教育，发挥企业重要办学主体作用。规模以上企业要有机构或人员组织实施职工教育培训、对接职业院校，设立学生实习和教师实践岗位。企业因接受实习生所实际发生的与取得收入有关的、合理的支出，按现行税收法律规定在计算应纳税所得额时扣除。多种形式支持企业建设兼具生产与教学功能的公共实训基地。对举办职业院校的企业，其办学符合职业教育发展规划要求的，各地可通过政府购买服务等方式给予支持。对职业院校自办的、以服务学生实习实训为主要目的的企业或经营活动，按照国家有关规定享受税收等优惠。支持企业通过校企合作共同培养培训人才，不断提升企业价值。企业开展职业教育的情况纳入企业社会责任报告。</w:t>
      </w:r>
    </w:p>
    <w:p w14:paraId="13638F36">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（十一）加强行业指导、评价和服务。</w:t>
      </w:r>
      <w:r>
        <w:rPr>
          <w:rFonts w:hint="eastAsia" w:ascii="仿宋_GB2312" w:hAnsi="仿宋_GB2312" w:eastAsia="仿宋_GB2312" w:cs="仿宋_GB2312"/>
          <w:sz w:val="30"/>
          <w:szCs w:val="30"/>
          <w:lang w:val="en-US" w:eastAsia="zh-CN"/>
        </w:rPr>
        <w:t>加强行业指导能力建设，分类制定行业指导政策。通过授权委托、购买服务等方式，把适宜行业组织承担的职责交给行业组织，给予政策支持并强化服务监管。行业组织要履行好发布行业人才需求、推进校企合作、参与指导教育教学、开展质量评价等职责，建立行业人力资源需求预测和就业状况定期发布制度。</w:t>
      </w:r>
    </w:p>
    <w:p w14:paraId="65C7D1C3">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（十二）完善现代职业学校制度。</w:t>
      </w:r>
      <w:r>
        <w:rPr>
          <w:rFonts w:hint="eastAsia" w:ascii="仿宋_GB2312" w:hAnsi="仿宋_GB2312" w:eastAsia="仿宋_GB2312" w:cs="仿宋_GB2312"/>
          <w:sz w:val="30"/>
          <w:szCs w:val="30"/>
          <w:lang w:val="en-US" w:eastAsia="zh-CN"/>
        </w:rPr>
        <w:t>扩大职业院校在专业设置和调整、人事管理、教师评聘、收入分配等方面的办学自主权。职业院校要依法制定体现职业教育特色的章程和制度，完善治理结构，提升治理能力。建立学校、行业、企业、社区等共同参与的学校理事会或董事会。制定校长任职资格标准，推进校长聘任制改革和公开选拔试点。坚持和完善中等职业学校校长负责制、公办高等职业院校党委领导下的校长负责制。建立企业经营管理和技术人员与学校领导、骨干教师相互兼职制度。完善体现职业院校办学和管理特点的绩效考核内部分配机制。</w:t>
      </w:r>
    </w:p>
    <w:p w14:paraId="54BB33E6">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（十三）鼓励多元主体组建职业教育集团。</w:t>
      </w:r>
      <w:r>
        <w:rPr>
          <w:rFonts w:hint="eastAsia" w:ascii="仿宋_GB2312" w:hAnsi="仿宋_GB2312" w:eastAsia="仿宋_GB2312" w:cs="仿宋_GB2312"/>
          <w:sz w:val="30"/>
          <w:szCs w:val="30"/>
          <w:lang w:val="en-US" w:eastAsia="zh-CN"/>
        </w:rPr>
        <w:t>研究制定院校、行业、企业、科研机构、社会组织等共同组建职业教育集团的支持政策，发挥职业教育集团在促进教育链和产业链有机融合中的重要作用。鼓励中央企业和行业龙头企业牵头组建职业教育集团。探索组建覆盖全产业链的职业教育集团。健全联席会、董事会、理事会等治理结构和决策机制。开展多元投资主体依法共建职业教育集团的改革试点。</w:t>
      </w:r>
    </w:p>
    <w:p w14:paraId="22915B4B">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（十四）强化职业教育的技术技能积累作用。</w:t>
      </w:r>
      <w:r>
        <w:rPr>
          <w:rFonts w:hint="eastAsia" w:ascii="仿宋_GB2312" w:hAnsi="仿宋_GB2312" w:eastAsia="仿宋_GB2312" w:cs="仿宋_GB2312"/>
          <w:sz w:val="30"/>
          <w:szCs w:val="30"/>
          <w:lang w:val="en-US" w:eastAsia="zh-CN"/>
        </w:rPr>
        <w:t>制定多方参与的支持政策，推动政府、学校、行业、企业联动，促进技术技能的积累与创新。推动职业院校与行业企业共建技术工艺和产品开发中心、实验实训平台、技能大师工作室等，成为国家技术技能积累与创新的重要载体。职业院校教师和学生拥有知识产权的技术开发、产品设计等成果，可依法依规在企业作价入股。</w:t>
      </w:r>
    </w:p>
    <w:p w14:paraId="3C8A3AF9">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四、提高人才培养质量</w:t>
      </w:r>
    </w:p>
    <w:p w14:paraId="7BE6A420">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（十五）推进人才培养模式创新。</w:t>
      </w:r>
      <w:r>
        <w:rPr>
          <w:rFonts w:hint="eastAsia" w:ascii="仿宋_GB2312" w:hAnsi="仿宋_GB2312" w:eastAsia="仿宋_GB2312" w:cs="仿宋_GB2312"/>
          <w:sz w:val="30"/>
          <w:szCs w:val="30"/>
          <w:lang w:val="en-US" w:eastAsia="zh-CN"/>
        </w:rPr>
        <w:t>坚持校企合作、工学结合，强化教学、学习、实训相融合的教育教学活动。推行项目教学、案例教学、工作过程导向教学等教学模式。加大实习实训在教学中的比重，创新顶岗实习形式，强化以育人为目标的实习实训考核评价。健全学生实习责任保险制度。积极推进学历证书和职业资格证书“双证书”制度。开展校企联合招生、联合培养的现代学徒制试点，完善支持政策，推进校企一体化育人。开展职业技能竞赛。</w:t>
      </w:r>
    </w:p>
    <w:p w14:paraId="6044ADF7">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（十六）建立健全课程衔接体系。</w:t>
      </w:r>
      <w:r>
        <w:rPr>
          <w:rFonts w:hint="eastAsia" w:ascii="仿宋_GB2312" w:hAnsi="仿宋_GB2312" w:eastAsia="仿宋_GB2312" w:cs="仿宋_GB2312"/>
          <w:sz w:val="30"/>
          <w:szCs w:val="30"/>
          <w:lang w:val="en-US" w:eastAsia="zh-CN"/>
        </w:rPr>
        <w:t>适应经济发展、产业升级和技术进步需要，建立专业教学标准和职业标准联动开发机制。推进专业设置、专业课程内容与职业标准相衔接，推进中等和高等职业教育培养目标、专业设置、教学过程等方面的衔接，形成对接紧密、特色鲜明、动态调整的职业教育课程体系。全面实施素质教育，科学合理设置课程，将职业道德、人文素养教育贯穿培养全过程。</w:t>
      </w:r>
    </w:p>
    <w:p w14:paraId="7724EEB6">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（十七）建设“双师型”教师队伍。</w:t>
      </w:r>
      <w:r>
        <w:rPr>
          <w:rFonts w:hint="eastAsia" w:ascii="仿宋_GB2312" w:hAnsi="仿宋_GB2312" w:eastAsia="仿宋_GB2312" w:cs="仿宋_GB2312"/>
          <w:sz w:val="30"/>
          <w:szCs w:val="30"/>
          <w:lang w:val="en-US" w:eastAsia="zh-CN"/>
        </w:rPr>
        <w:t>完善教师资格标准，实施教师专业标准。健全教师专业技术职务（职称）评聘办法，探索在职业学校设置正高级教师职务（职称）。加强校长培训，实行五年一周期的教师全员培训制度。落实教师企业实践制度。政府要支持学校按照有关规定自主聘请兼职教师。完善企业工程技术人员、高技能人才到职业院校担任专兼职教师的相关政策，兼职教师任教情况应作为其业绩考核评价的重要内容。加强职业技术师范院校建设。推进高水平学校和大中型企业共建“双师型”教师培养培训基地。地方政府要比照普通高中和高等学校，根据职业教育特点核定公办职业院校教职工编制。加强职业教育科研教研队伍建设，提高科研能力和教学研究水平。</w:t>
      </w:r>
    </w:p>
    <w:p w14:paraId="26EA459A">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（十八）提高信息化水平。</w:t>
      </w:r>
      <w:r>
        <w:rPr>
          <w:rFonts w:hint="eastAsia" w:ascii="仿宋_GB2312" w:hAnsi="仿宋_GB2312" w:eastAsia="仿宋_GB2312" w:cs="仿宋_GB2312"/>
          <w:sz w:val="30"/>
          <w:szCs w:val="30"/>
          <w:lang w:val="en-US" w:eastAsia="zh-CN"/>
        </w:rPr>
        <w:t>构建利用信息化手段扩大优质教育资源覆盖面的有效机制，推进职业教育资源跨区域、跨行业共建共享，逐步实现所有专业的优质数字教育资源全覆盖。支持与专业课程配套的虚拟仿真实训系统开发与应用。推广教学过程与生产过程实时互动的远程教学。加快信息化管理平台建设，加强现代信息技术应用能力培训，将现代信息技术应用能力作为教师评聘考核的重要依据。</w:t>
      </w:r>
    </w:p>
    <w:p w14:paraId="26D1AD85">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（十九）加强国际交流与合作。</w:t>
      </w:r>
      <w:r>
        <w:rPr>
          <w:rFonts w:hint="eastAsia" w:ascii="仿宋_GB2312" w:hAnsi="仿宋_GB2312" w:eastAsia="仿宋_GB2312" w:cs="仿宋_GB2312"/>
          <w:sz w:val="30"/>
          <w:szCs w:val="30"/>
          <w:lang w:val="en-US" w:eastAsia="zh-CN"/>
        </w:rPr>
        <w:t>完善中外合作机制，支持职业院校引进国（境）外高水平专家和优质教育资源，鼓励中外职业院校教师互派、学生互换。实施中外职业院校合作办学项目，探索和规范职业院校到国（境）外办学。推动与中国企业和产品“走出去”相配套的职业教育发展模式，注重培养符合中国企业海外生产经营需求的本土化人才。积极参与制定职业教育国际标准，开发与国际先进标准对接的专业标准和课程体系。提升全国职业院校技能大赛国际影响。</w:t>
      </w:r>
    </w:p>
    <w:p w14:paraId="3111F080">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五、提升发展保障水平</w:t>
      </w:r>
    </w:p>
    <w:p w14:paraId="2284CE01">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（二十）完善经费稳定投入机制。</w:t>
      </w:r>
      <w:r>
        <w:rPr>
          <w:rFonts w:hint="eastAsia" w:ascii="仿宋_GB2312" w:hAnsi="仿宋_GB2312" w:eastAsia="仿宋_GB2312" w:cs="仿宋_GB2312"/>
          <w:sz w:val="30"/>
          <w:szCs w:val="30"/>
          <w:lang w:val="en-US" w:eastAsia="zh-CN"/>
        </w:rPr>
        <w:t>各级人民政府要建立与办学规模和培养要求相适应的财政投入制度，地方人民政府要依法制定并落实职业院校生均经费标准或公用经费标准，改善职业院校基本办学条件。地方教育附加费用于职业教育的比例不低于30%。加大地方人民政府经费统筹力度，发挥好企业职工教育培训经费以及就业经费、扶贫和移民安置资金等各类资金在职业培训中的作用，提高资金使用效益。县级以上人民政府要建立职业教育经费绩效评价制度、审计监督公告制度、预决算公开制度。</w:t>
      </w:r>
    </w:p>
    <w:p w14:paraId="61357AF0">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（二十一）健全社会力量投入的激励政策。</w:t>
      </w:r>
      <w:r>
        <w:rPr>
          <w:rFonts w:hint="eastAsia" w:ascii="仿宋_GB2312" w:hAnsi="仿宋_GB2312" w:eastAsia="仿宋_GB2312" w:cs="仿宋_GB2312"/>
          <w:sz w:val="30"/>
          <w:szCs w:val="30"/>
          <w:lang w:val="en-US" w:eastAsia="zh-CN"/>
        </w:rPr>
        <w:t>鼓励社会力量捐资、出资兴办职业教育，拓宽办学筹资渠道。通过公益性社会团体或者县级以上人民政府及其部门向职业院校进行捐赠的，其捐赠按照现行税收法律规定在税前扣除。完善财政贴息贷款等政策，健全民办职业院校融资机制。企业要依法履行职工教育培训和足额提取教育培训经费的责任，一般企业按照职工工资总额的1.5%足额提取教育培训经费，从业人员技能要求高、实训耗材多、培训任务重、经济效益较好的企业可按2.5%提取，其中用于一线职工教育培训的比例不低于60%。除国务院财政、税务主管部门另有规定外，企业发生的职工教育经费支出，不超过工资薪金总额2.5%的部分，准予扣除；超过部分，准予在以后纳税年度结转扣除。对不按规定提取和使用教育培训经费并拒不改正的企业，由县级以上地方人民政府依法收取企业应当承担的职业教育经费，统筹用于本地区的职业教育。探索利用国（境）外资金发展职业教育的途径和机制。</w:t>
      </w:r>
    </w:p>
    <w:p w14:paraId="0E44E767">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（二十二）加强基础能力建设。</w:t>
      </w:r>
      <w:r>
        <w:rPr>
          <w:rFonts w:hint="eastAsia" w:ascii="仿宋_GB2312" w:hAnsi="仿宋_GB2312" w:eastAsia="仿宋_GB2312" w:cs="仿宋_GB2312"/>
          <w:sz w:val="30"/>
          <w:szCs w:val="30"/>
          <w:lang w:val="en-US" w:eastAsia="zh-CN"/>
        </w:rPr>
        <w:t>分类制定中等职业学校、高等职业院校办学标准，到2020年实现基本达标。在整合现有项目的基础上实施现代职业教育质量提升计划，推动各地建立完善以促进改革和提高绩效为导向的高等职业院校生均拨款制度，引导高等职业院校深化办学机制和教育教学改革；重点支持中等职业学校改善基本办学条件，开发优质教学资源，提高教师素质；推动建立发达地区和欠发达地区中等职业教育合作办学工作机制。继续实施中等职业教育基础能力建设项目。支持一批本科高等学校转型发展为应用技术类型高等学校。地方人民政府、相关行业部门和大型企业要切实加强所办职业院校基础能力建设，支持一批职业院校争创国际先进水平。</w:t>
      </w:r>
    </w:p>
    <w:p w14:paraId="7E263538">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（二十三）完善资助政策体系。</w:t>
      </w:r>
      <w:r>
        <w:rPr>
          <w:rFonts w:hint="eastAsia" w:ascii="仿宋_GB2312" w:hAnsi="仿宋_GB2312" w:eastAsia="仿宋_GB2312" w:cs="仿宋_GB2312"/>
          <w:sz w:val="30"/>
          <w:szCs w:val="30"/>
          <w:lang w:val="en-US" w:eastAsia="zh-CN"/>
        </w:rPr>
        <w:t>进一步健全公平公正、多元投入、规范高效的职业教育国家资助政策。逐步建立职业院校助学金覆盖面和补助标准动态调整机制，加大对农林水地矿油核等专业学生的助学力度。有计划地支持集中连片特殊困难地区内限制开发和禁止开发区初中毕业生到省（区、市）内外经济较发达地区接受职业教育。完善面向农民、农村转移劳动力、在职职工、失业人员、残疾人、退役士兵等接受职业教育和培训的资助补贴政策，积极推行以直补个人为主的支付办法。有关部门和职业院校要切实加强资金管理，严查“双重学籍”、“虚假学籍”等问题，确保资助资金有效使用。</w:t>
      </w:r>
    </w:p>
    <w:p w14:paraId="4FA165E6">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（二十四）加大对农村和贫困地区职业教育支持力度。</w:t>
      </w:r>
      <w:r>
        <w:rPr>
          <w:rFonts w:hint="eastAsia" w:ascii="仿宋_GB2312" w:hAnsi="仿宋_GB2312" w:eastAsia="仿宋_GB2312" w:cs="仿宋_GB2312"/>
          <w:sz w:val="30"/>
          <w:szCs w:val="30"/>
          <w:lang w:val="en-US" w:eastAsia="zh-CN"/>
        </w:rPr>
        <w:t>服务国家粮食安全保障体系建设，积极发展现代农业职业教育，建立公益性农民培养培训制度，大力培养新型职业农民。在人口集中和产业发展需要的贫困地区建好一批中等职业学校。国家制定奖补政策，支持东部地区职业院校扩大面向中西部地区的招生规模，深化专业建设、课程开发、资源共享、学校管理等合作。加强民族地区职业教育，改善民族地区职业院校办学条件，继续办好内地西藏、新疆中职班，建设一批民族文化传承创新示范专业点。</w:t>
      </w:r>
    </w:p>
    <w:p w14:paraId="79587574">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（二十五）健全就业和用人的保障政策。</w:t>
      </w:r>
      <w:r>
        <w:rPr>
          <w:rFonts w:hint="eastAsia" w:ascii="仿宋_GB2312" w:hAnsi="仿宋_GB2312" w:eastAsia="仿宋_GB2312" w:cs="仿宋_GB2312"/>
          <w:sz w:val="30"/>
          <w:szCs w:val="30"/>
          <w:lang w:val="en-US" w:eastAsia="zh-CN"/>
        </w:rPr>
        <w:t>认真执行就业准入制度，对从事涉及公共安全、人身健康、生命财产安全等特殊工种的劳动者，必须从取得相应学历证书或职业培训合格证书并获得相应职业资格证书的人员中录用。支持在符合条件的职业院校设立职业技能鉴定所（站），完善职业院校合格毕业生取得相应职业资格证书的办法。各级人民政府要创造平等就业环境，消除城乡、行业、身份、性别等一切影响平等就业的制度障碍和就业歧视；党政机关和企事业单位招用人员不得歧视职业院校毕业生。结合深化收入分配制度改革，促进企业提高技能人才收入水平。鼓励企业建立高技能人才技能职务津贴和特殊岗位津贴制度。</w:t>
      </w:r>
    </w:p>
    <w:p w14:paraId="05B13E7B">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六、加强组织领导</w:t>
      </w:r>
    </w:p>
    <w:p w14:paraId="57068D0F">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（二十六）落实政府职责。</w:t>
      </w:r>
      <w:r>
        <w:rPr>
          <w:rFonts w:hint="eastAsia" w:ascii="仿宋_GB2312" w:hAnsi="仿宋_GB2312" w:eastAsia="仿宋_GB2312" w:cs="仿宋_GB2312"/>
          <w:sz w:val="30"/>
          <w:szCs w:val="30"/>
          <w:lang w:val="en-US" w:eastAsia="zh-CN"/>
        </w:rPr>
        <w:t>完善分级管理、地方为主、政府统筹、社会参与的管理体制。国务院相关部门要有效运用总体规划、政策引导等手段以及税收金融、财政转移支付等杠杆，加强对职业教育发展的统筹协调和分类指导；地方政府要切实承担主要责任，结合本地实际推进职业教育改革发展，探索解决职业教育发展的难点问题。要加快政府职能转变，减少部门职责交叉和分散，减少对学校教育教学具体事务的干预。充分发挥职业教育工作部门联席会议制度的作用，形成工作合力。</w:t>
      </w:r>
    </w:p>
    <w:p w14:paraId="61C4BAE1">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（二十七）强化督导评估。</w:t>
      </w:r>
      <w:r>
        <w:rPr>
          <w:rFonts w:hint="eastAsia" w:ascii="仿宋_GB2312" w:hAnsi="仿宋_GB2312" w:eastAsia="仿宋_GB2312" w:cs="仿宋_GB2312"/>
          <w:sz w:val="30"/>
          <w:szCs w:val="30"/>
          <w:lang w:val="en-US" w:eastAsia="zh-CN"/>
        </w:rPr>
        <w:t>教育督导部门要完善督导评估办法，加强对政府及有关部门履行发展职业教育职责的督导；要落实督导报告公布制度，将督导报告作为对被督导单位及其主要负责人考核奖惩的重要依据。完善职业教育质量评价制度，定期开展职业院校办学水平和专业教学情况评估，实施职业教育质量年度报告制度。注重发挥行业、用人单位作用，积极支持第三方机构开展评估。</w:t>
      </w:r>
    </w:p>
    <w:p w14:paraId="08E69844">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（二十八）营造良好环境。</w:t>
      </w:r>
      <w:r>
        <w:rPr>
          <w:rFonts w:hint="eastAsia" w:ascii="仿宋_GB2312" w:hAnsi="仿宋_GB2312" w:eastAsia="仿宋_GB2312" w:cs="仿宋_GB2312"/>
          <w:sz w:val="30"/>
          <w:szCs w:val="30"/>
          <w:lang w:val="en-US" w:eastAsia="zh-CN"/>
        </w:rPr>
        <w:t>推动加快修订职业教育法。按照国家有关规定，研究完善职业教育先进单位和先进个人表彰奖励制度。落实好职业教育科研和教学成果奖励制度，用优秀成果引领职业教育改革创新。研究设立职业教育活动周。大力宣传高素质劳动者和技术技能人才的先进事迹和重要贡献，引导全社会确立尊重劳动、尊重知识、尊重技术、尊重创新的观念，促进形成“崇尚一技之长、不唯学历凭能力”的社会氛围，提高职业教育社会影响力和吸引力。</w:t>
      </w:r>
    </w:p>
    <w:p w14:paraId="4CA6E35C">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p>
    <w:p w14:paraId="506A4709">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国务院</w:t>
      </w:r>
    </w:p>
    <w:p w14:paraId="7CF7F410">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00" w:firstLineChars="200"/>
        <w:jc w:val="righ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2014年5月2日</w:t>
      </w:r>
    </w:p>
    <w:p w14:paraId="32FA3127">
      <w:pPr>
        <w:pStyle w:val="2"/>
        <w:numPr>
          <w:ilvl w:val="0"/>
          <w:numId w:val="1"/>
        </w:numPr>
        <w:bidi w:val="0"/>
        <w:ind w:left="0" w:leftChars="0" w:firstLine="600" w:firstLineChars="200"/>
      </w:pPr>
      <w:r>
        <w:rPr>
          <w:rFonts w:hint="eastAsia" w:ascii="仿宋_GB2312" w:hAnsi="仿宋_GB2312" w:eastAsia="仿宋_GB2312" w:cs="仿宋_GB2312"/>
          <w:sz w:val="30"/>
          <w:szCs w:val="30"/>
          <w:lang w:val="en-US" w:eastAsia="zh-CN"/>
        </w:rPr>
        <w:br w:type="page"/>
      </w:r>
      <w:bookmarkStart w:id="4" w:name="_Toc25947"/>
      <w:bookmarkStart w:id="5" w:name="_Toc16117"/>
      <w:bookmarkStart w:id="6" w:name="_Toc14411"/>
      <w:bookmarkStart w:id="7" w:name="_Toc5213"/>
      <w:r>
        <w:t>现代职业教育体系建设规划（2014-2020年）</w:t>
      </w:r>
      <w:bookmarkEnd w:id="4"/>
      <w:bookmarkEnd w:id="5"/>
      <w:bookmarkEnd w:id="6"/>
      <w:bookmarkEnd w:id="7"/>
    </w:p>
    <w:p w14:paraId="07EBC6FD">
      <w:pPr>
        <w:numPr>
          <w:numId w:val="0"/>
        </w:numPr>
        <w:ind w:leftChars="200"/>
      </w:pPr>
    </w:p>
    <w:p w14:paraId="4CF6815B">
      <w:pPr>
        <w:numPr>
          <w:numId w:val="0"/>
        </w:numPr>
        <w:jc w:val="center"/>
        <w:rPr>
          <w:rFonts w:hint="eastAsia" w:asciiTheme="majorEastAsia" w:hAnsiTheme="majorEastAsia" w:eastAsiaTheme="majorEastAsia" w:cstheme="majorEastAsia"/>
          <w:sz w:val="36"/>
          <w:szCs w:val="36"/>
        </w:rPr>
      </w:pPr>
      <w:r>
        <w:rPr>
          <w:rFonts w:hint="eastAsia" w:asciiTheme="majorEastAsia" w:hAnsiTheme="majorEastAsia" w:eastAsiaTheme="majorEastAsia" w:cstheme="majorEastAsia"/>
          <w:b/>
          <w:bCs/>
          <w:sz w:val="36"/>
          <w:szCs w:val="36"/>
        </w:rPr>
        <w:t>现代职业教育体系建设规划（2014-2020年）</w:t>
      </w:r>
    </w:p>
    <w:p w14:paraId="6CCC13A1">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p>
    <w:p w14:paraId="4711C3C9">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为全面贯彻党的十八大和十八届三中全会精神，依据《国民经济和社会发展第十二个五年规划纲要》、《国家中长期教育改革和发展规划纲要（2010-2020年）》、《国家中长期人才发展规划纲要（2010-2020年）》、《国务院关于加快发展现代职业教育的决定》和各产业、行业规划，特制定本规划。</w:t>
      </w:r>
    </w:p>
    <w:p w14:paraId="421E98B7">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黑体" w:hAnsi="黑体" w:eastAsia="黑体" w:cs="黑体"/>
          <w:sz w:val="30"/>
          <w:szCs w:val="30"/>
        </w:rPr>
      </w:pPr>
      <w:bookmarkStart w:id="8" w:name="_Toc317750229"/>
      <w:bookmarkStart w:id="9" w:name="_Toc326133242"/>
      <w:bookmarkStart w:id="10" w:name="_Toc389470848"/>
      <w:r>
        <w:rPr>
          <w:rFonts w:hint="eastAsia" w:ascii="黑体" w:hAnsi="黑体" w:eastAsia="黑体" w:cs="黑体"/>
          <w:sz w:val="30"/>
          <w:szCs w:val="30"/>
        </w:rPr>
        <w:t>一、规划背景</w:t>
      </w:r>
      <w:bookmarkEnd w:id="8"/>
      <w:bookmarkEnd w:id="9"/>
      <w:bookmarkEnd w:id="10"/>
    </w:p>
    <w:p w14:paraId="3415FA27">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bookmarkStart w:id="11" w:name="_Toc317750230"/>
      <w:r>
        <w:rPr>
          <w:rFonts w:hint="eastAsia" w:ascii="仿宋_GB2312" w:hAnsi="仿宋_GB2312" w:eastAsia="仿宋_GB2312" w:cs="仿宋_GB2312"/>
          <w:sz w:val="30"/>
          <w:szCs w:val="30"/>
        </w:rPr>
        <w:t>加快发展现代职业教育是党中央、国务院作出的重大战略决策。现代职业教育是服务经济社会发展需要，面向经济社会发展和生产服务一线，培养高素质劳动者和技术技能人才并促进全体劳动者可持续职业发展的教育类型。建立现代职业教育体系，是促进现代职业教育服务转方式、调结构、促改革、保就业、惠民生和工业化、信息化、城镇化、农业现代化同步发展的制度性安排，对打造中国经济升级版，创造更大人才红利，促进就业和改善民生，加强社会建设和文化建设，满足人民群众生产生活多样化的需求，实现中华民族伟大复兴的中国梦都具有重要意义。</w:t>
      </w:r>
    </w:p>
    <w:p w14:paraId="1C2D295E">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随着新型工业化的推进和科学技术的发展，现代职业教育体系越来越成为国家竞争力的重要支撑。特别是国际金融危机以来，美、欧、日、俄、印等国家和地区都将完善现代职业教育体系作为增强国家竞争力特别是发展实体经济的战略选择，力求在新一轮国际竞争中建立巩固的、可持续的人才和技术竞争优势。</w:t>
      </w:r>
    </w:p>
    <w:p w14:paraId="1C7F0809">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改革开放以来，我国职业教育改革发展取得了巨大成就，中高等职业教育快速发展，职业院校基础能力显著提高，产教结合、校企合作不断深入，行业企业参与不断加强，中高职衔接呈现良好势头。但是，必须清醒地看到，我国职业教育仍然存在着社会吸引力不强、发展理念相对落后、行业企业参与不足、人才培养模式相对陈旧、基础能力相对薄弱、层次结构不合理、基本制度不健全、国际化程度不高等诸多问题，并集中体现在职业教育体系不适应加快转变经济发展方式的要求上。抓住发展机遇，站在经济、社会和教育发展全局的高度，以战略眼光、现代理念和国际视野建设现代职业教育体系，加快发展现代职业教育，是促进教育公平、基本实现教育现代化和建设人力资源强国的必然选择。 </w:t>
      </w:r>
    </w:p>
    <w:p w14:paraId="02018CE3">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黑体" w:hAnsi="黑体" w:eastAsia="黑体" w:cs="黑体"/>
          <w:sz w:val="30"/>
          <w:szCs w:val="30"/>
        </w:rPr>
      </w:pPr>
      <w:bookmarkStart w:id="12" w:name="_Toc389470849"/>
      <w:bookmarkStart w:id="13" w:name="_Toc326133243"/>
      <w:r>
        <w:rPr>
          <w:rFonts w:hint="eastAsia" w:ascii="黑体" w:hAnsi="黑体" w:eastAsia="黑体" w:cs="黑体"/>
          <w:sz w:val="30"/>
          <w:szCs w:val="30"/>
        </w:rPr>
        <w:t>二、</w:t>
      </w:r>
      <w:bookmarkEnd w:id="11"/>
      <w:r>
        <w:rPr>
          <w:rFonts w:hint="eastAsia" w:ascii="黑体" w:hAnsi="黑体" w:eastAsia="黑体" w:cs="黑体"/>
          <w:sz w:val="30"/>
          <w:szCs w:val="30"/>
        </w:rPr>
        <w:t>总体要求</w:t>
      </w:r>
      <w:bookmarkEnd w:id="12"/>
      <w:bookmarkEnd w:id="13"/>
    </w:p>
    <w:p w14:paraId="2C8E4CDF">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b/>
          <w:bCs/>
          <w:sz w:val="30"/>
          <w:szCs w:val="30"/>
        </w:rPr>
      </w:pPr>
      <w:bookmarkStart w:id="14" w:name="_Toc356461509"/>
      <w:bookmarkStart w:id="15" w:name="_Toc389470850"/>
      <w:bookmarkStart w:id="16" w:name="_Toc316463997"/>
      <w:bookmarkStart w:id="17" w:name="_Toc316463709"/>
      <w:bookmarkStart w:id="18" w:name="_Toc317750231"/>
      <w:r>
        <w:rPr>
          <w:rFonts w:hint="eastAsia" w:ascii="仿宋_GB2312" w:hAnsi="仿宋_GB2312" w:eastAsia="仿宋_GB2312" w:cs="仿宋_GB2312"/>
          <w:b/>
          <w:bCs/>
          <w:sz w:val="30"/>
          <w:szCs w:val="30"/>
        </w:rPr>
        <w:t>（一）指导思想。</w:t>
      </w:r>
      <w:bookmarkEnd w:id="14"/>
      <w:bookmarkEnd w:id="15"/>
    </w:p>
    <w:p w14:paraId="34BD9646">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以邓小平理论、“三个代表”重要思想、科学发展观为指导，按照“五位一体”社会主义现代化建设总体布局和加快经济发展方式转变的总体要求，坚持以立德树人为根本，以服务发展为宗旨，以促进就业为导向，深化体制机制改革，统筹发挥好政府和市场的作用，系统设计现代职业教育的体系框架、结构布局和运行机制，推动教育制度创新和结构调整，培养数以亿计的工程师、高级技工和高素质职业人才，传承技术技能，促进就业创业，为建设人力资源强国和创新型国家提供人才支撑。</w:t>
      </w:r>
    </w:p>
    <w:p w14:paraId="01DA8DD7">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b/>
          <w:bCs/>
          <w:sz w:val="30"/>
          <w:szCs w:val="30"/>
        </w:rPr>
      </w:pPr>
      <w:bookmarkStart w:id="19" w:name="_Toc356461511"/>
      <w:bookmarkStart w:id="20" w:name="_Toc389470851"/>
      <w:r>
        <w:rPr>
          <w:rFonts w:hint="eastAsia" w:ascii="仿宋_GB2312" w:hAnsi="仿宋_GB2312" w:eastAsia="仿宋_GB2312" w:cs="仿宋_GB2312"/>
          <w:b/>
          <w:bCs/>
          <w:sz w:val="30"/>
          <w:szCs w:val="30"/>
        </w:rPr>
        <w:t>（二）建设目标。</w:t>
      </w:r>
      <w:bookmarkEnd w:id="19"/>
      <w:bookmarkEnd w:id="20"/>
    </w:p>
    <w:p w14:paraId="68462851">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总体目标是：牢固确立职业教育在国家人才培养体系中的重要位置，到2020年，形成适应发展需求、产教深度融合、中职高职衔接、职业教育与普通教育相互沟通，体现终身教育理念，具有中国特色、世界水平的现代职业教育体系，建立人才培养立交桥，形成合理教育结构，推动现代教育体系基本建立、教育现代化基本实现。具体分两步走：</w:t>
      </w:r>
    </w:p>
    <w:p w14:paraId="2AEBA625">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2015年，初步形成现代职业教育体系框架。现代职业教育的理念得到广泛宣传，职业教育体系建设的重大政策更加完备，人才培养层次更加完善，专业结构更加符合市场需求，中高等职业教育全面衔接，产教融合、校企合作的体制基本建立，现代职业院校制度基本形成，职业教育服务国家发展战略的能力进一步提升，职业教育吸引力进一步增强。</w:t>
      </w:r>
    </w:p>
    <w:p w14:paraId="2432D35A">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2020年，基本建成中国特色现代职业教育体系。现代职业教育理念深入人心，行业企业和职业院校（中等职业学校和高等职业学校的统称，下同）共同推进的技术技能积累创新机制基本形成，职业教育体系的层次、结构更加科学，院校布局和专业设置适应经济社会需求，现代职业教育的基本制度、运行机制、重大政策更加完善，社会力量广泛参与，建成一批高水平职业院校，各类职业人才培养水平大幅提升。</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88"/>
        <w:gridCol w:w="1306"/>
        <w:gridCol w:w="1176"/>
        <w:gridCol w:w="1241"/>
        <w:gridCol w:w="1111"/>
      </w:tblGrid>
      <w:tr w14:paraId="3F9FE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5000" w:type="pct"/>
            <w:gridSpan w:val="5"/>
            <w:tcBorders>
              <w:top w:val="single" w:color="auto" w:sz="4" w:space="0"/>
              <w:left w:val="single" w:color="auto" w:sz="4" w:space="0"/>
              <w:bottom w:val="single" w:color="auto" w:sz="4" w:space="0"/>
              <w:right w:val="single" w:color="auto" w:sz="4" w:space="0"/>
            </w:tcBorders>
            <w:noWrap w:val="0"/>
            <w:vAlign w:val="top"/>
          </w:tcPr>
          <w:p w14:paraId="2300302B">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2"/>
              </w:rPr>
            </w:pPr>
            <w:r>
              <w:rPr>
                <w:b/>
                <w:bCs/>
                <w:sz w:val="24"/>
                <w:szCs w:val="22"/>
              </w:rPr>
              <w:t>专栏1 现代职业教育体系建设量化目标</w:t>
            </w:r>
          </w:p>
        </w:tc>
      </w:tr>
      <w:tr w14:paraId="5568C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2164" w:type="pct"/>
            <w:tcBorders>
              <w:top w:val="single" w:color="auto" w:sz="4" w:space="0"/>
              <w:left w:val="single" w:color="auto" w:sz="4" w:space="0"/>
              <w:bottom w:val="single" w:color="auto" w:sz="4" w:space="0"/>
              <w:right w:val="single" w:color="auto" w:sz="4" w:space="0"/>
            </w:tcBorders>
            <w:noWrap w:val="0"/>
            <w:vAlign w:val="center"/>
          </w:tcPr>
          <w:p w14:paraId="5DCF453C">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目标</w:t>
            </w:r>
          </w:p>
        </w:tc>
        <w:tc>
          <w:tcPr>
            <w:tcW w:w="766" w:type="pct"/>
            <w:tcBorders>
              <w:top w:val="single" w:color="auto" w:sz="4" w:space="0"/>
              <w:left w:val="single" w:color="auto" w:sz="4" w:space="0"/>
              <w:bottom w:val="single" w:color="auto" w:sz="4" w:space="0"/>
              <w:right w:val="single" w:color="auto" w:sz="4" w:space="0"/>
            </w:tcBorders>
            <w:noWrap w:val="0"/>
            <w:vAlign w:val="center"/>
          </w:tcPr>
          <w:p w14:paraId="3ED30FDE">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单位</w:t>
            </w:r>
          </w:p>
        </w:tc>
        <w:tc>
          <w:tcPr>
            <w:tcW w:w="690" w:type="pct"/>
            <w:tcBorders>
              <w:top w:val="single" w:color="auto" w:sz="4" w:space="0"/>
              <w:left w:val="single" w:color="auto" w:sz="4" w:space="0"/>
              <w:bottom w:val="single" w:color="auto" w:sz="4" w:space="0"/>
              <w:right w:val="single" w:color="auto" w:sz="4" w:space="0"/>
            </w:tcBorders>
            <w:noWrap w:val="0"/>
            <w:vAlign w:val="center"/>
          </w:tcPr>
          <w:p w14:paraId="08E63331">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2012年</w:t>
            </w:r>
          </w:p>
        </w:tc>
        <w:tc>
          <w:tcPr>
            <w:tcW w:w="728" w:type="pct"/>
            <w:tcBorders>
              <w:top w:val="single" w:color="auto" w:sz="4" w:space="0"/>
              <w:left w:val="single" w:color="auto" w:sz="4" w:space="0"/>
              <w:bottom w:val="single" w:color="auto" w:sz="4" w:space="0"/>
              <w:right w:val="single" w:color="auto" w:sz="4" w:space="0"/>
            </w:tcBorders>
            <w:noWrap w:val="0"/>
            <w:vAlign w:val="center"/>
          </w:tcPr>
          <w:p w14:paraId="1058176B">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2015年</w:t>
            </w:r>
          </w:p>
        </w:tc>
        <w:tc>
          <w:tcPr>
            <w:tcW w:w="649" w:type="pct"/>
            <w:tcBorders>
              <w:top w:val="single" w:color="auto" w:sz="4" w:space="0"/>
              <w:left w:val="single" w:color="auto" w:sz="4" w:space="0"/>
              <w:bottom w:val="single" w:color="auto" w:sz="4" w:space="0"/>
              <w:right w:val="single" w:color="auto" w:sz="4" w:space="0"/>
            </w:tcBorders>
            <w:noWrap w:val="0"/>
            <w:vAlign w:val="center"/>
          </w:tcPr>
          <w:p w14:paraId="1731CB68">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2020年</w:t>
            </w:r>
          </w:p>
        </w:tc>
      </w:tr>
      <w:tr w14:paraId="65C99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2164" w:type="pct"/>
            <w:tcBorders>
              <w:top w:val="single" w:color="auto" w:sz="4" w:space="0"/>
              <w:left w:val="single" w:color="auto" w:sz="4" w:space="0"/>
              <w:bottom w:val="single" w:color="auto" w:sz="4" w:space="0"/>
              <w:right w:val="single" w:color="auto" w:sz="4" w:space="0"/>
            </w:tcBorders>
            <w:noWrap w:val="0"/>
            <w:vAlign w:val="center"/>
          </w:tcPr>
          <w:p w14:paraId="7F7CE94B">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中等职业教育在校生数</w:t>
            </w:r>
          </w:p>
        </w:tc>
        <w:tc>
          <w:tcPr>
            <w:tcW w:w="766" w:type="pct"/>
            <w:tcBorders>
              <w:top w:val="single" w:color="auto" w:sz="4" w:space="0"/>
              <w:left w:val="single" w:color="auto" w:sz="4" w:space="0"/>
              <w:bottom w:val="single" w:color="auto" w:sz="4" w:space="0"/>
              <w:right w:val="single" w:color="auto" w:sz="4" w:space="0"/>
            </w:tcBorders>
            <w:noWrap w:val="0"/>
            <w:vAlign w:val="center"/>
          </w:tcPr>
          <w:p w14:paraId="005B6FA6">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万人</w:t>
            </w:r>
          </w:p>
        </w:tc>
        <w:tc>
          <w:tcPr>
            <w:tcW w:w="690" w:type="pct"/>
            <w:tcBorders>
              <w:top w:val="single" w:color="auto" w:sz="4" w:space="0"/>
              <w:left w:val="single" w:color="auto" w:sz="4" w:space="0"/>
              <w:bottom w:val="single" w:color="auto" w:sz="4" w:space="0"/>
              <w:right w:val="single" w:color="auto" w:sz="4" w:space="0"/>
            </w:tcBorders>
            <w:noWrap w:val="0"/>
            <w:vAlign w:val="center"/>
          </w:tcPr>
          <w:p w14:paraId="3FF805E6">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2114</w:t>
            </w:r>
          </w:p>
        </w:tc>
        <w:tc>
          <w:tcPr>
            <w:tcW w:w="728" w:type="pct"/>
            <w:tcBorders>
              <w:top w:val="single" w:color="auto" w:sz="4" w:space="0"/>
              <w:left w:val="single" w:color="auto" w:sz="4" w:space="0"/>
              <w:bottom w:val="single" w:color="auto" w:sz="4" w:space="0"/>
              <w:right w:val="single" w:color="auto" w:sz="4" w:space="0"/>
            </w:tcBorders>
            <w:noWrap w:val="0"/>
            <w:vAlign w:val="center"/>
          </w:tcPr>
          <w:p w14:paraId="22CB8804">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2250</w:t>
            </w:r>
          </w:p>
        </w:tc>
        <w:tc>
          <w:tcPr>
            <w:tcW w:w="649" w:type="pct"/>
            <w:tcBorders>
              <w:top w:val="single" w:color="auto" w:sz="4" w:space="0"/>
              <w:left w:val="single" w:color="auto" w:sz="4" w:space="0"/>
              <w:bottom w:val="single" w:color="auto" w:sz="4" w:space="0"/>
              <w:right w:val="single" w:color="auto" w:sz="4" w:space="0"/>
            </w:tcBorders>
            <w:noWrap w:val="0"/>
            <w:vAlign w:val="center"/>
          </w:tcPr>
          <w:p w14:paraId="0AE160C0">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2350</w:t>
            </w:r>
          </w:p>
        </w:tc>
      </w:tr>
      <w:tr w14:paraId="7A5B2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2164" w:type="pct"/>
            <w:tcBorders>
              <w:top w:val="single" w:color="auto" w:sz="4" w:space="0"/>
              <w:left w:val="single" w:color="auto" w:sz="4" w:space="0"/>
              <w:bottom w:val="single" w:color="auto" w:sz="4" w:space="0"/>
              <w:right w:val="single" w:color="auto" w:sz="4" w:space="0"/>
            </w:tcBorders>
            <w:noWrap w:val="0"/>
            <w:vAlign w:val="center"/>
          </w:tcPr>
          <w:p w14:paraId="07980FDF">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专科层次职业教育在校生数</w:t>
            </w:r>
          </w:p>
        </w:tc>
        <w:tc>
          <w:tcPr>
            <w:tcW w:w="766" w:type="pct"/>
            <w:tcBorders>
              <w:top w:val="single" w:color="auto" w:sz="4" w:space="0"/>
              <w:left w:val="single" w:color="auto" w:sz="4" w:space="0"/>
              <w:bottom w:val="single" w:color="auto" w:sz="4" w:space="0"/>
              <w:right w:val="single" w:color="auto" w:sz="4" w:space="0"/>
            </w:tcBorders>
            <w:noWrap w:val="0"/>
            <w:vAlign w:val="center"/>
          </w:tcPr>
          <w:p w14:paraId="01286135">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万人</w:t>
            </w:r>
          </w:p>
        </w:tc>
        <w:tc>
          <w:tcPr>
            <w:tcW w:w="690" w:type="pct"/>
            <w:tcBorders>
              <w:top w:val="single" w:color="auto" w:sz="4" w:space="0"/>
              <w:left w:val="single" w:color="auto" w:sz="4" w:space="0"/>
              <w:bottom w:val="single" w:color="auto" w:sz="4" w:space="0"/>
              <w:right w:val="single" w:color="auto" w:sz="4" w:space="0"/>
            </w:tcBorders>
            <w:noWrap w:val="0"/>
            <w:vAlign w:val="center"/>
          </w:tcPr>
          <w:p w14:paraId="47B9779F">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964</w:t>
            </w:r>
          </w:p>
        </w:tc>
        <w:tc>
          <w:tcPr>
            <w:tcW w:w="728" w:type="pct"/>
            <w:tcBorders>
              <w:top w:val="single" w:color="auto" w:sz="4" w:space="0"/>
              <w:left w:val="single" w:color="auto" w:sz="4" w:space="0"/>
              <w:bottom w:val="single" w:color="auto" w:sz="4" w:space="0"/>
              <w:right w:val="single" w:color="auto" w:sz="4" w:space="0"/>
            </w:tcBorders>
            <w:noWrap w:val="0"/>
            <w:vAlign w:val="center"/>
          </w:tcPr>
          <w:p w14:paraId="0A6FC25C">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1390</w:t>
            </w:r>
          </w:p>
        </w:tc>
        <w:tc>
          <w:tcPr>
            <w:tcW w:w="649" w:type="pct"/>
            <w:tcBorders>
              <w:top w:val="single" w:color="auto" w:sz="4" w:space="0"/>
              <w:left w:val="single" w:color="auto" w:sz="4" w:space="0"/>
              <w:bottom w:val="single" w:color="auto" w:sz="4" w:space="0"/>
              <w:right w:val="single" w:color="auto" w:sz="4" w:space="0"/>
            </w:tcBorders>
            <w:noWrap w:val="0"/>
            <w:vAlign w:val="center"/>
          </w:tcPr>
          <w:p w14:paraId="21AAD81B">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1480</w:t>
            </w:r>
          </w:p>
        </w:tc>
      </w:tr>
      <w:tr w14:paraId="33D54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2164" w:type="pct"/>
            <w:tcBorders>
              <w:top w:val="single" w:color="auto" w:sz="4" w:space="0"/>
              <w:left w:val="single" w:color="auto" w:sz="4" w:space="0"/>
              <w:bottom w:val="single" w:color="auto" w:sz="4" w:space="0"/>
              <w:right w:val="single" w:color="auto" w:sz="4" w:space="0"/>
            </w:tcBorders>
            <w:noWrap w:val="0"/>
            <w:vAlign w:val="center"/>
          </w:tcPr>
          <w:p w14:paraId="49EE1D0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继续教育参与人次</w:t>
            </w:r>
          </w:p>
        </w:tc>
        <w:tc>
          <w:tcPr>
            <w:tcW w:w="766" w:type="pct"/>
            <w:tcBorders>
              <w:top w:val="single" w:color="auto" w:sz="4" w:space="0"/>
              <w:left w:val="single" w:color="auto" w:sz="4" w:space="0"/>
              <w:bottom w:val="single" w:color="auto" w:sz="4" w:space="0"/>
              <w:right w:val="single" w:color="auto" w:sz="4" w:space="0"/>
            </w:tcBorders>
            <w:noWrap w:val="0"/>
            <w:vAlign w:val="center"/>
          </w:tcPr>
          <w:p w14:paraId="6B399577">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万人次</w:t>
            </w:r>
          </w:p>
        </w:tc>
        <w:tc>
          <w:tcPr>
            <w:tcW w:w="690" w:type="pct"/>
            <w:tcBorders>
              <w:top w:val="single" w:color="auto" w:sz="4" w:space="0"/>
              <w:left w:val="single" w:color="auto" w:sz="4" w:space="0"/>
              <w:bottom w:val="single" w:color="auto" w:sz="4" w:space="0"/>
              <w:right w:val="single" w:color="auto" w:sz="4" w:space="0"/>
            </w:tcBorders>
            <w:noWrap w:val="0"/>
            <w:vAlign w:val="center"/>
          </w:tcPr>
          <w:p w14:paraId="7516D31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21000</w:t>
            </w:r>
          </w:p>
        </w:tc>
        <w:tc>
          <w:tcPr>
            <w:tcW w:w="728" w:type="pct"/>
            <w:tcBorders>
              <w:top w:val="single" w:color="auto" w:sz="4" w:space="0"/>
              <w:left w:val="single" w:color="auto" w:sz="4" w:space="0"/>
              <w:bottom w:val="single" w:color="auto" w:sz="4" w:space="0"/>
              <w:right w:val="single" w:color="auto" w:sz="4" w:space="0"/>
            </w:tcBorders>
            <w:noWrap w:val="0"/>
            <w:vAlign w:val="center"/>
          </w:tcPr>
          <w:p w14:paraId="566F2E4F">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29000</w:t>
            </w:r>
          </w:p>
        </w:tc>
        <w:tc>
          <w:tcPr>
            <w:tcW w:w="649" w:type="pct"/>
            <w:tcBorders>
              <w:top w:val="single" w:color="auto" w:sz="4" w:space="0"/>
              <w:left w:val="single" w:color="auto" w:sz="4" w:space="0"/>
              <w:bottom w:val="single" w:color="auto" w:sz="4" w:space="0"/>
              <w:right w:val="single" w:color="auto" w:sz="4" w:space="0"/>
            </w:tcBorders>
            <w:noWrap w:val="0"/>
            <w:vAlign w:val="center"/>
          </w:tcPr>
          <w:p w14:paraId="6DD14AE6">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35000</w:t>
            </w:r>
          </w:p>
        </w:tc>
      </w:tr>
      <w:tr w14:paraId="2094B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2164" w:type="pct"/>
            <w:tcBorders>
              <w:top w:val="single" w:color="auto" w:sz="4" w:space="0"/>
              <w:left w:val="single" w:color="auto" w:sz="4" w:space="0"/>
              <w:bottom w:val="single" w:color="auto" w:sz="4" w:space="0"/>
              <w:right w:val="single" w:color="auto" w:sz="4" w:space="0"/>
            </w:tcBorders>
            <w:noWrap w:val="0"/>
            <w:vAlign w:val="center"/>
          </w:tcPr>
          <w:p w14:paraId="6607710F">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职业院校职业教育集团参与率</w:t>
            </w:r>
          </w:p>
        </w:tc>
        <w:tc>
          <w:tcPr>
            <w:tcW w:w="766" w:type="pct"/>
            <w:tcBorders>
              <w:top w:val="single" w:color="auto" w:sz="4" w:space="0"/>
              <w:left w:val="single" w:color="auto" w:sz="4" w:space="0"/>
              <w:bottom w:val="single" w:color="auto" w:sz="4" w:space="0"/>
              <w:right w:val="single" w:color="auto" w:sz="4" w:space="0"/>
            </w:tcBorders>
            <w:noWrap w:val="0"/>
            <w:vAlign w:val="center"/>
          </w:tcPr>
          <w:p w14:paraId="6ACB301E">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w:t>
            </w:r>
          </w:p>
        </w:tc>
        <w:tc>
          <w:tcPr>
            <w:tcW w:w="690" w:type="pct"/>
            <w:tcBorders>
              <w:top w:val="single" w:color="auto" w:sz="4" w:space="0"/>
              <w:left w:val="single" w:color="auto" w:sz="4" w:space="0"/>
              <w:bottom w:val="single" w:color="auto" w:sz="4" w:space="0"/>
              <w:right w:val="single" w:color="auto" w:sz="4" w:space="0"/>
            </w:tcBorders>
            <w:noWrap w:val="0"/>
            <w:vAlign w:val="center"/>
          </w:tcPr>
          <w:p w14:paraId="3E277F3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75</w:t>
            </w:r>
          </w:p>
        </w:tc>
        <w:tc>
          <w:tcPr>
            <w:tcW w:w="728" w:type="pct"/>
            <w:tcBorders>
              <w:top w:val="single" w:color="auto" w:sz="4" w:space="0"/>
              <w:left w:val="single" w:color="auto" w:sz="4" w:space="0"/>
              <w:bottom w:val="single" w:color="auto" w:sz="4" w:space="0"/>
              <w:right w:val="single" w:color="auto" w:sz="4" w:space="0"/>
            </w:tcBorders>
            <w:noWrap w:val="0"/>
            <w:vAlign w:val="center"/>
          </w:tcPr>
          <w:p w14:paraId="22669396">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85</w:t>
            </w:r>
          </w:p>
        </w:tc>
        <w:tc>
          <w:tcPr>
            <w:tcW w:w="649" w:type="pct"/>
            <w:tcBorders>
              <w:top w:val="single" w:color="auto" w:sz="4" w:space="0"/>
              <w:left w:val="single" w:color="auto" w:sz="4" w:space="0"/>
              <w:bottom w:val="single" w:color="auto" w:sz="4" w:space="0"/>
              <w:right w:val="single" w:color="auto" w:sz="4" w:space="0"/>
            </w:tcBorders>
            <w:noWrap w:val="0"/>
            <w:vAlign w:val="center"/>
          </w:tcPr>
          <w:p w14:paraId="7C31A8E5">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90</w:t>
            </w:r>
          </w:p>
        </w:tc>
      </w:tr>
      <w:tr w14:paraId="4E67C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2164" w:type="pct"/>
            <w:tcBorders>
              <w:top w:val="single" w:color="auto" w:sz="4" w:space="0"/>
              <w:left w:val="single" w:color="auto" w:sz="4" w:space="0"/>
              <w:bottom w:val="single" w:color="auto" w:sz="4" w:space="0"/>
              <w:right w:val="single" w:color="auto" w:sz="4" w:space="0"/>
            </w:tcBorders>
            <w:noWrap w:val="0"/>
            <w:vAlign w:val="center"/>
          </w:tcPr>
          <w:p w14:paraId="2866B1E5">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高职院校招收有实际工作经验学习者比例</w:t>
            </w:r>
          </w:p>
        </w:tc>
        <w:tc>
          <w:tcPr>
            <w:tcW w:w="766" w:type="pct"/>
            <w:tcBorders>
              <w:top w:val="single" w:color="auto" w:sz="4" w:space="0"/>
              <w:left w:val="single" w:color="auto" w:sz="4" w:space="0"/>
              <w:bottom w:val="single" w:color="auto" w:sz="4" w:space="0"/>
              <w:right w:val="single" w:color="auto" w:sz="4" w:space="0"/>
            </w:tcBorders>
            <w:noWrap w:val="0"/>
            <w:vAlign w:val="center"/>
          </w:tcPr>
          <w:p w14:paraId="7ADEE857">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w:t>
            </w:r>
          </w:p>
        </w:tc>
        <w:tc>
          <w:tcPr>
            <w:tcW w:w="690" w:type="pct"/>
            <w:tcBorders>
              <w:top w:val="single" w:color="auto" w:sz="4" w:space="0"/>
              <w:left w:val="single" w:color="auto" w:sz="4" w:space="0"/>
              <w:bottom w:val="single" w:color="auto" w:sz="4" w:space="0"/>
              <w:right w:val="single" w:color="auto" w:sz="4" w:space="0"/>
            </w:tcBorders>
            <w:noWrap w:val="0"/>
            <w:vAlign w:val="center"/>
          </w:tcPr>
          <w:p w14:paraId="3CEF26EE">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5</w:t>
            </w:r>
          </w:p>
        </w:tc>
        <w:tc>
          <w:tcPr>
            <w:tcW w:w="728" w:type="pct"/>
            <w:tcBorders>
              <w:top w:val="single" w:color="auto" w:sz="4" w:space="0"/>
              <w:left w:val="single" w:color="auto" w:sz="4" w:space="0"/>
              <w:bottom w:val="single" w:color="auto" w:sz="4" w:space="0"/>
              <w:right w:val="single" w:color="auto" w:sz="4" w:space="0"/>
            </w:tcBorders>
            <w:noWrap w:val="0"/>
            <w:vAlign w:val="center"/>
          </w:tcPr>
          <w:p w14:paraId="21CB7448">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10</w:t>
            </w:r>
          </w:p>
        </w:tc>
        <w:tc>
          <w:tcPr>
            <w:tcW w:w="649" w:type="pct"/>
            <w:tcBorders>
              <w:top w:val="single" w:color="auto" w:sz="4" w:space="0"/>
              <w:left w:val="single" w:color="auto" w:sz="4" w:space="0"/>
              <w:bottom w:val="single" w:color="auto" w:sz="4" w:space="0"/>
              <w:right w:val="single" w:color="auto" w:sz="4" w:space="0"/>
            </w:tcBorders>
            <w:noWrap w:val="0"/>
            <w:vAlign w:val="center"/>
          </w:tcPr>
          <w:p w14:paraId="671364F6">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20</w:t>
            </w:r>
          </w:p>
        </w:tc>
      </w:tr>
      <w:tr w14:paraId="67B97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2164" w:type="pct"/>
            <w:tcBorders>
              <w:top w:val="single" w:color="auto" w:sz="4" w:space="0"/>
              <w:left w:val="single" w:color="auto" w:sz="4" w:space="0"/>
              <w:bottom w:val="single" w:color="auto" w:sz="4" w:space="0"/>
              <w:right w:val="single" w:color="auto" w:sz="4" w:space="0"/>
            </w:tcBorders>
            <w:noWrap w:val="0"/>
            <w:vAlign w:val="center"/>
          </w:tcPr>
          <w:p w14:paraId="1A7CECD9">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职业院校培训在校生（折合数）相当于学历职业教育在校生的比例</w:t>
            </w:r>
          </w:p>
        </w:tc>
        <w:tc>
          <w:tcPr>
            <w:tcW w:w="766" w:type="pct"/>
            <w:tcBorders>
              <w:top w:val="single" w:color="auto" w:sz="4" w:space="0"/>
              <w:left w:val="single" w:color="auto" w:sz="4" w:space="0"/>
              <w:bottom w:val="single" w:color="auto" w:sz="4" w:space="0"/>
              <w:right w:val="single" w:color="auto" w:sz="4" w:space="0"/>
            </w:tcBorders>
            <w:noWrap w:val="0"/>
            <w:vAlign w:val="center"/>
          </w:tcPr>
          <w:p w14:paraId="055BB48F">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w:t>
            </w:r>
          </w:p>
        </w:tc>
        <w:tc>
          <w:tcPr>
            <w:tcW w:w="690" w:type="pct"/>
            <w:tcBorders>
              <w:top w:val="single" w:color="auto" w:sz="4" w:space="0"/>
              <w:left w:val="single" w:color="auto" w:sz="4" w:space="0"/>
              <w:bottom w:val="single" w:color="auto" w:sz="4" w:space="0"/>
              <w:right w:val="single" w:color="auto" w:sz="4" w:space="0"/>
            </w:tcBorders>
            <w:noWrap w:val="0"/>
            <w:vAlign w:val="center"/>
          </w:tcPr>
          <w:p w14:paraId="759EC226">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14</w:t>
            </w:r>
          </w:p>
        </w:tc>
        <w:tc>
          <w:tcPr>
            <w:tcW w:w="728" w:type="pct"/>
            <w:tcBorders>
              <w:top w:val="single" w:color="auto" w:sz="4" w:space="0"/>
              <w:left w:val="single" w:color="auto" w:sz="4" w:space="0"/>
              <w:bottom w:val="single" w:color="auto" w:sz="4" w:space="0"/>
              <w:right w:val="single" w:color="auto" w:sz="4" w:space="0"/>
            </w:tcBorders>
            <w:noWrap w:val="0"/>
            <w:vAlign w:val="center"/>
          </w:tcPr>
          <w:p w14:paraId="48A3FCE5">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20</w:t>
            </w:r>
          </w:p>
        </w:tc>
        <w:tc>
          <w:tcPr>
            <w:tcW w:w="649" w:type="pct"/>
            <w:tcBorders>
              <w:top w:val="single" w:color="auto" w:sz="4" w:space="0"/>
              <w:left w:val="single" w:color="auto" w:sz="4" w:space="0"/>
              <w:bottom w:val="single" w:color="auto" w:sz="4" w:space="0"/>
              <w:right w:val="single" w:color="auto" w:sz="4" w:space="0"/>
            </w:tcBorders>
            <w:noWrap w:val="0"/>
            <w:vAlign w:val="center"/>
          </w:tcPr>
          <w:p w14:paraId="74668540">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30</w:t>
            </w:r>
          </w:p>
        </w:tc>
      </w:tr>
      <w:tr w14:paraId="47305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2164" w:type="pct"/>
            <w:tcBorders>
              <w:top w:val="single" w:color="auto" w:sz="4" w:space="0"/>
              <w:left w:val="single" w:color="auto" w:sz="4" w:space="0"/>
              <w:bottom w:val="single" w:color="auto" w:sz="4" w:space="0"/>
              <w:right w:val="single" w:color="auto" w:sz="4" w:space="0"/>
            </w:tcBorders>
            <w:noWrap w:val="0"/>
            <w:vAlign w:val="center"/>
          </w:tcPr>
          <w:p w14:paraId="7882F56F">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实训基地骨干专业覆盖率</w:t>
            </w:r>
          </w:p>
        </w:tc>
        <w:tc>
          <w:tcPr>
            <w:tcW w:w="766" w:type="pct"/>
            <w:tcBorders>
              <w:top w:val="single" w:color="auto" w:sz="4" w:space="0"/>
              <w:left w:val="single" w:color="auto" w:sz="4" w:space="0"/>
              <w:bottom w:val="single" w:color="auto" w:sz="4" w:space="0"/>
              <w:right w:val="single" w:color="auto" w:sz="4" w:space="0"/>
            </w:tcBorders>
            <w:noWrap w:val="0"/>
            <w:vAlign w:val="center"/>
          </w:tcPr>
          <w:p w14:paraId="5C5C16AB">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w:t>
            </w:r>
          </w:p>
        </w:tc>
        <w:tc>
          <w:tcPr>
            <w:tcW w:w="690" w:type="pct"/>
            <w:tcBorders>
              <w:top w:val="single" w:color="auto" w:sz="4" w:space="0"/>
              <w:left w:val="single" w:color="auto" w:sz="4" w:space="0"/>
              <w:bottom w:val="single" w:color="auto" w:sz="4" w:space="0"/>
              <w:right w:val="single" w:color="auto" w:sz="4" w:space="0"/>
            </w:tcBorders>
            <w:noWrap w:val="0"/>
            <w:vAlign w:val="center"/>
          </w:tcPr>
          <w:p w14:paraId="2CB599B0">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35</w:t>
            </w:r>
          </w:p>
        </w:tc>
        <w:tc>
          <w:tcPr>
            <w:tcW w:w="728" w:type="pct"/>
            <w:tcBorders>
              <w:top w:val="single" w:color="auto" w:sz="4" w:space="0"/>
              <w:left w:val="single" w:color="auto" w:sz="4" w:space="0"/>
              <w:bottom w:val="single" w:color="auto" w:sz="4" w:space="0"/>
              <w:right w:val="single" w:color="auto" w:sz="4" w:space="0"/>
            </w:tcBorders>
            <w:noWrap w:val="0"/>
            <w:vAlign w:val="center"/>
          </w:tcPr>
          <w:p w14:paraId="6DFCD013">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50</w:t>
            </w:r>
          </w:p>
        </w:tc>
        <w:tc>
          <w:tcPr>
            <w:tcW w:w="649" w:type="pct"/>
            <w:tcBorders>
              <w:top w:val="single" w:color="auto" w:sz="4" w:space="0"/>
              <w:left w:val="single" w:color="auto" w:sz="4" w:space="0"/>
              <w:bottom w:val="single" w:color="auto" w:sz="4" w:space="0"/>
              <w:right w:val="single" w:color="auto" w:sz="4" w:space="0"/>
            </w:tcBorders>
            <w:noWrap w:val="0"/>
            <w:vAlign w:val="center"/>
          </w:tcPr>
          <w:p w14:paraId="564DA079">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80</w:t>
            </w:r>
          </w:p>
        </w:tc>
      </w:tr>
      <w:tr w14:paraId="6A569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2164" w:type="pct"/>
            <w:tcBorders>
              <w:top w:val="single" w:color="auto" w:sz="4" w:space="0"/>
              <w:left w:val="single" w:color="auto" w:sz="4" w:space="0"/>
              <w:bottom w:val="single" w:color="auto" w:sz="4" w:space="0"/>
              <w:right w:val="single" w:color="auto" w:sz="4" w:space="0"/>
            </w:tcBorders>
            <w:noWrap w:val="0"/>
            <w:vAlign w:val="center"/>
          </w:tcPr>
          <w:p w14:paraId="509A772B">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有实践经验的专兼职教师占专业教师总数的比例</w:t>
            </w:r>
          </w:p>
        </w:tc>
        <w:tc>
          <w:tcPr>
            <w:tcW w:w="766" w:type="pct"/>
            <w:tcBorders>
              <w:top w:val="single" w:color="auto" w:sz="4" w:space="0"/>
              <w:left w:val="single" w:color="auto" w:sz="4" w:space="0"/>
              <w:bottom w:val="single" w:color="auto" w:sz="4" w:space="0"/>
              <w:right w:val="single" w:color="auto" w:sz="4" w:space="0"/>
            </w:tcBorders>
            <w:noWrap w:val="0"/>
            <w:vAlign w:val="center"/>
          </w:tcPr>
          <w:p w14:paraId="1B7F21B1">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w:t>
            </w:r>
          </w:p>
        </w:tc>
        <w:tc>
          <w:tcPr>
            <w:tcW w:w="690" w:type="pct"/>
            <w:tcBorders>
              <w:top w:val="single" w:color="auto" w:sz="4" w:space="0"/>
              <w:left w:val="single" w:color="auto" w:sz="4" w:space="0"/>
              <w:bottom w:val="single" w:color="auto" w:sz="4" w:space="0"/>
              <w:right w:val="single" w:color="auto" w:sz="4" w:space="0"/>
            </w:tcBorders>
            <w:noWrap w:val="0"/>
            <w:vAlign w:val="center"/>
          </w:tcPr>
          <w:p w14:paraId="37B8CAA0">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35</w:t>
            </w:r>
          </w:p>
        </w:tc>
        <w:tc>
          <w:tcPr>
            <w:tcW w:w="728" w:type="pct"/>
            <w:tcBorders>
              <w:top w:val="single" w:color="auto" w:sz="4" w:space="0"/>
              <w:left w:val="single" w:color="auto" w:sz="4" w:space="0"/>
              <w:bottom w:val="single" w:color="auto" w:sz="4" w:space="0"/>
              <w:right w:val="single" w:color="auto" w:sz="4" w:space="0"/>
            </w:tcBorders>
            <w:noWrap w:val="0"/>
            <w:vAlign w:val="center"/>
          </w:tcPr>
          <w:p w14:paraId="13B0754F">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45</w:t>
            </w:r>
          </w:p>
        </w:tc>
        <w:tc>
          <w:tcPr>
            <w:tcW w:w="649" w:type="pct"/>
            <w:tcBorders>
              <w:top w:val="single" w:color="auto" w:sz="4" w:space="0"/>
              <w:left w:val="single" w:color="auto" w:sz="4" w:space="0"/>
              <w:bottom w:val="single" w:color="auto" w:sz="4" w:space="0"/>
              <w:right w:val="single" w:color="auto" w:sz="4" w:space="0"/>
            </w:tcBorders>
            <w:noWrap w:val="0"/>
            <w:vAlign w:val="center"/>
          </w:tcPr>
          <w:p w14:paraId="6B87FD7F">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60</w:t>
            </w:r>
          </w:p>
        </w:tc>
      </w:tr>
      <w:tr w14:paraId="6FDAE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2164" w:type="pct"/>
            <w:tcBorders>
              <w:top w:val="single" w:color="auto" w:sz="4" w:space="0"/>
              <w:left w:val="single" w:color="auto" w:sz="4" w:space="0"/>
              <w:bottom w:val="single" w:color="auto" w:sz="4" w:space="0"/>
              <w:right w:val="single" w:color="auto" w:sz="4" w:space="0"/>
            </w:tcBorders>
            <w:noWrap w:val="0"/>
            <w:vAlign w:val="center"/>
          </w:tcPr>
          <w:p w14:paraId="311D029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职业院校校园网覆盖率</w:t>
            </w:r>
          </w:p>
        </w:tc>
        <w:tc>
          <w:tcPr>
            <w:tcW w:w="766" w:type="pct"/>
            <w:tcBorders>
              <w:top w:val="single" w:color="auto" w:sz="4" w:space="0"/>
              <w:left w:val="single" w:color="auto" w:sz="4" w:space="0"/>
              <w:bottom w:val="single" w:color="auto" w:sz="4" w:space="0"/>
              <w:right w:val="single" w:color="auto" w:sz="4" w:space="0"/>
            </w:tcBorders>
            <w:noWrap w:val="0"/>
            <w:vAlign w:val="center"/>
          </w:tcPr>
          <w:p w14:paraId="52683082">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w:t>
            </w:r>
          </w:p>
        </w:tc>
        <w:tc>
          <w:tcPr>
            <w:tcW w:w="690" w:type="pct"/>
            <w:tcBorders>
              <w:top w:val="single" w:color="auto" w:sz="4" w:space="0"/>
              <w:left w:val="single" w:color="auto" w:sz="4" w:space="0"/>
              <w:bottom w:val="single" w:color="auto" w:sz="4" w:space="0"/>
              <w:right w:val="single" w:color="auto" w:sz="4" w:space="0"/>
            </w:tcBorders>
            <w:noWrap w:val="0"/>
            <w:vAlign w:val="center"/>
          </w:tcPr>
          <w:p w14:paraId="29683AE1">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90</w:t>
            </w:r>
          </w:p>
        </w:tc>
        <w:tc>
          <w:tcPr>
            <w:tcW w:w="728" w:type="pct"/>
            <w:tcBorders>
              <w:top w:val="single" w:color="auto" w:sz="4" w:space="0"/>
              <w:left w:val="single" w:color="auto" w:sz="4" w:space="0"/>
              <w:bottom w:val="single" w:color="auto" w:sz="4" w:space="0"/>
              <w:right w:val="single" w:color="auto" w:sz="4" w:space="0"/>
            </w:tcBorders>
            <w:noWrap w:val="0"/>
            <w:vAlign w:val="center"/>
          </w:tcPr>
          <w:p w14:paraId="1AD43D97">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100</w:t>
            </w:r>
          </w:p>
        </w:tc>
        <w:tc>
          <w:tcPr>
            <w:tcW w:w="649" w:type="pct"/>
            <w:tcBorders>
              <w:top w:val="single" w:color="auto" w:sz="4" w:space="0"/>
              <w:left w:val="single" w:color="auto" w:sz="4" w:space="0"/>
              <w:bottom w:val="single" w:color="auto" w:sz="4" w:space="0"/>
              <w:right w:val="single" w:color="auto" w:sz="4" w:space="0"/>
            </w:tcBorders>
            <w:noWrap w:val="0"/>
            <w:vAlign w:val="center"/>
          </w:tcPr>
          <w:p w14:paraId="261AB33F">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100</w:t>
            </w:r>
          </w:p>
        </w:tc>
      </w:tr>
      <w:tr w14:paraId="4AFAE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2164" w:type="pct"/>
            <w:tcBorders>
              <w:top w:val="single" w:color="auto" w:sz="4" w:space="0"/>
              <w:left w:val="single" w:color="auto" w:sz="4" w:space="0"/>
              <w:bottom w:val="single" w:color="auto" w:sz="4" w:space="0"/>
              <w:right w:val="single" w:color="auto" w:sz="4" w:space="0"/>
            </w:tcBorders>
            <w:noWrap w:val="0"/>
            <w:vAlign w:val="center"/>
          </w:tcPr>
          <w:p w14:paraId="046C8001">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数字化资源专业覆盖率</w:t>
            </w:r>
          </w:p>
        </w:tc>
        <w:tc>
          <w:tcPr>
            <w:tcW w:w="766" w:type="pct"/>
            <w:tcBorders>
              <w:top w:val="single" w:color="auto" w:sz="4" w:space="0"/>
              <w:left w:val="single" w:color="auto" w:sz="4" w:space="0"/>
              <w:bottom w:val="single" w:color="auto" w:sz="4" w:space="0"/>
              <w:right w:val="single" w:color="auto" w:sz="4" w:space="0"/>
            </w:tcBorders>
            <w:noWrap w:val="0"/>
            <w:vAlign w:val="center"/>
          </w:tcPr>
          <w:p w14:paraId="73CF3DC1">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w:t>
            </w:r>
          </w:p>
        </w:tc>
        <w:tc>
          <w:tcPr>
            <w:tcW w:w="690" w:type="pct"/>
            <w:tcBorders>
              <w:top w:val="single" w:color="auto" w:sz="4" w:space="0"/>
              <w:left w:val="single" w:color="auto" w:sz="4" w:space="0"/>
              <w:bottom w:val="single" w:color="auto" w:sz="4" w:space="0"/>
              <w:right w:val="single" w:color="auto" w:sz="4" w:space="0"/>
            </w:tcBorders>
            <w:noWrap w:val="0"/>
            <w:vAlign w:val="center"/>
          </w:tcPr>
          <w:p w14:paraId="370CE009">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70</w:t>
            </w:r>
          </w:p>
        </w:tc>
        <w:tc>
          <w:tcPr>
            <w:tcW w:w="728" w:type="pct"/>
            <w:tcBorders>
              <w:top w:val="single" w:color="auto" w:sz="4" w:space="0"/>
              <w:left w:val="single" w:color="auto" w:sz="4" w:space="0"/>
              <w:bottom w:val="single" w:color="auto" w:sz="4" w:space="0"/>
              <w:right w:val="single" w:color="auto" w:sz="4" w:space="0"/>
            </w:tcBorders>
            <w:noWrap w:val="0"/>
            <w:vAlign w:val="center"/>
          </w:tcPr>
          <w:p w14:paraId="764149B4">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80</w:t>
            </w:r>
          </w:p>
        </w:tc>
        <w:tc>
          <w:tcPr>
            <w:tcW w:w="649" w:type="pct"/>
            <w:tcBorders>
              <w:top w:val="single" w:color="auto" w:sz="4" w:space="0"/>
              <w:left w:val="single" w:color="auto" w:sz="4" w:space="0"/>
              <w:bottom w:val="single" w:color="auto" w:sz="4" w:space="0"/>
              <w:right w:val="single" w:color="auto" w:sz="4" w:space="0"/>
            </w:tcBorders>
            <w:noWrap w:val="0"/>
            <w:vAlign w:val="center"/>
          </w:tcPr>
          <w:p w14:paraId="7C75ABB1">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4"/>
              </w:rPr>
            </w:pPr>
            <w:r>
              <w:rPr>
                <w:sz w:val="24"/>
                <w:szCs w:val="24"/>
              </w:rPr>
              <w:t>100</w:t>
            </w:r>
          </w:p>
        </w:tc>
      </w:tr>
    </w:tbl>
    <w:p w14:paraId="64E07D56">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b/>
          <w:bCs/>
          <w:sz w:val="30"/>
          <w:szCs w:val="30"/>
        </w:rPr>
      </w:pPr>
      <w:bookmarkStart w:id="21" w:name="_Toc356461512"/>
      <w:bookmarkStart w:id="22" w:name="_Toc389470852"/>
      <w:r>
        <w:rPr>
          <w:rFonts w:hint="eastAsia" w:ascii="仿宋_GB2312" w:hAnsi="仿宋_GB2312" w:eastAsia="仿宋_GB2312" w:cs="仿宋_GB2312"/>
          <w:b/>
          <w:bCs/>
          <w:sz w:val="30"/>
          <w:szCs w:val="30"/>
        </w:rPr>
        <w:t>（三）基本原则。</w:t>
      </w:r>
      <w:bookmarkEnd w:id="21"/>
      <w:bookmarkEnd w:id="22"/>
    </w:p>
    <w:p w14:paraId="602F97C6">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坚持政府统筹规划。</w:t>
      </w:r>
      <w:r>
        <w:rPr>
          <w:rFonts w:hint="eastAsia" w:ascii="仿宋_GB2312" w:hAnsi="仿宋_GB2312" w:eastAsia="仿宋_GB2312" w:cs="仿宋_GB2312"/>
          <w:sz w:val="30"/>
          <w:szCs w:val="30"/>
        </w:rPr>
        <w:t>以提高质量、促进就业、服务发展为导向，发挥政府在职业教育体系建设中的引导、规范和督导作用，深化重要领域和关键环节的改革。中央政府加强职业教育体系的顶层设计，完善体系建设、管理、运行的法律法规和基本制度。扩大省级政府统筹权，鼓励各地根据区域经济社会发展需要，探索体系建设模式，推动职业教育多样化、多形式发展。</w:t>
      </w:r>
      <w:r>
        <w:rPr>
          <w:rFonts w:hint="eastAsia" w:ascii="仿宋_GB2312" w:hAnsi="仿宋_GB2312" w:eastAsia="仿宋_GB2312" w:cs="仿宋_GB2312"/>
          <w:sz w:val="30"/>
          <w:szCs w:val="30"/>
        </w:rPr>
        <w:br w:type="textWrapping"/>
      </w:r>
      <w:r>
        <w:rPr>
          <w:rFonts w:hint="eastAsia" w:ascii="仿宋_GB2312" w:hAnsi="仿宋_GB2312" w:eastAsia="仿宋_GB2312" w:cs="仿宋_GB2312"/>
          <w:sz w:val="30"/>
          <w:szCs w:val="30"/>
        </w:rPr>
        <w:t xml:space="preserve">    </w:t>
      </w:r>
      <w:r>
        <w:rPr>
          <w:rFonts w:hint="eastAsia" w:ascii="仿宋_GB2312" w:hAnsi="仿宋_GB2312" w:eastAsia="仿宋_GB2312" w:cs="仿宋_GB2312"/>
          <w:b/>
          <w:bCs/>
          <w:sz w:val="30"/>
          <w:szCs w:val="30"/>
        </w:rPr>
        <w:t>坚持市场需求导向。</w:t>
      </w:r>
      <w:r>
        <w:rPr>
          <w:rFonts w:hint="eastAsia" w:ascii="仿宋_GB2312" w:hAnsi="仿宋_GB2312" w:eastAsia="仿宋_GB2312" w:cs="仿宋_GB2312"/>
          <w:sz w:val="30"/>
          <w:szCs w:val="30"/>
        </w:rPr>
        <w:t xml:space="preserve">充分发挥市场在资源配置中的决定性作用，扩大职业院校办学自主权，推动学校面向社会需求办学，增强职业教育体系适应市场经济的能力。充分调动社会力量，吸引更多资源向职业教育汇聚，促进政府办学、企业办学和社会办学共同发展。进一步发挥行业、企业、学校和社会各方面的积极作用，激发职业教育办学活力，最大限度释放改革红利。 </w:t>
      </w:r>
    </w:p>
    <w:p w14:paraId="3CA484A4">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坚持产教融合发展。</w:t>
      </w:r>
      <w:r>
        <w:rPr>
          <w:rFonts w:hint="eastAsia" w:ascii="仿宋_GB2312" w:hAnsi="仿宋_GB2312" w:eastAsia="仿宋_GB2312" w:cs="仿宋_GB2312"/>
          <w:sz w:val="30"/>
          <w:szCs w:val="30"/>
        </w:rPr>
        <w:t>走开放融合、改革创新的中国特色现代职业教育体系建设道路，推动职业教育融入经济社会发展和改革开放的全过程，推动专业设置与产业需求、课程内容与职业标准、教学过程与生产过程对接，实现职业教育与技术进步和生产方式变革以及社会公共服务相适应，促进经济提质增效升级。</w:t>
      </w:r>
    </w:p>
    <w:p w14:paraId="28E0D12E">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坚持各级各类教育协调发展。</w:t>
      </w:r>
      <w:r>
        <w:rPr>
          <w:rFonts w:hint="eastAsia" w:ascii="仿宋_GB2312" w:hAnsi="仿宋_GB2312" w:eastAsia="仿宋_GB2312" w:cs="仿宋_GB2312"/>
          <w:sz w:val="30"/>
          <w:szCs w:val="30"/>
        </w:rPr>
        <w:t>统筹职业教育和普通教育、继续教育发展，建立学分积累和转换制度，畅通人才成长通道。优化职业教育体系结构和空间布局，形成普通教育与职业教育相互沟通、全日制与非全日制协调发展，学历教育与非学历培训沟通衔接，公办民办共同发展的现代职业教育新格局。</w:t>
      </w:r>
    </w:p>
    <w:bookmarkEnd w:id="16"/>
    <w:bookmarkEnd w:id="17"/>
    <w:bookmarkEnd w:id="18"/>
    <w:p w14:paraId="71438A9B">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黑体" w:hAnsi="黑体" w:eastAsia="黑体" w:cs="黑体"/>
          <w:sz w:val="30"/>
          <w:szCs w:val="30"/>
        </w:rPr>
      </w:pPr>
      <w:bookmarkStart w:id="23" w:name="_Toc389470853"/>
      <w:bookmarkStart w:id="24" w:name="_Toc326133245"/>
      <w:r>
        <w:rPr>
          <w:rFonts w:hint="eastAsia" w:ascii="黑体" w:hAnsi="黑体" w:eastAsia="黑体" w:cs="黑体"/>
          <w:sz w:val="30"/>
          <w:szCs w:val="30"/>
        </w:rPr>
        <w:t>三、</w:t>
      </w:r>
      <w:r>
        <w:rPr>
          <w:rFonts w:hint="eastAsia" w:ascii="黑体" w:hAnsi="黑体" w:eastAsia="黑体" w:cs="黑体"/>
          <w:sz w:val="30"/>
          <w:szCs w:val="30"/>
          <w:lang w:eastAsia="zh-CN"/>
        </w:rPr>
        <w:t>体系的</w:t>
      </w:r>
      <w:r>
        <w:rPr>
          <w:rFonts w:hint="eastAsia" w:ascii="黑体" w:hAnsi="黑体" w:eastAsia="黑体" w:cs="黑体"/>
          <w:sz w:val="30"/>
          <w:szCs w:val="30"/>
        </w:rPr>
        <w:t>基本架构</w:t>
      </w:r>
      <w:bookmarkEnd w:id="23"/>
      <w:bookmarkEnd w:id="24"/>
    </w:p>
    <w:p w14:paraId="6484B2FA">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按照终身教育的理念，形成服务需求、开放融合、纵向流动、双向沟通的现代职业教育的体系框架和总体布局。</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617"/>
      </w:tblGrid>
      <w:tr w14:paraId="4CED35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4" w:hRule="atLeast"/>
          <w:jc w:val="center"/>
        </w:trPr>
        <w:tc>
          <w:tcPr>
            <w:tcW w:w="8617" w:type="dxa"/>
            <w:tcBorders>
              <w:left w:val="single" w:color="auto" w:sz="4" w:space="0"/>
              <w:bottom w:val="single" w:color="auto" w:sz="4" w:space="0"/>
              <w:right w:val="single" w:color="auto" w:sz="4" w:space="0"/>
            </w:tcBorders>
            <w:noWrap w:val="0"/>
            <w:vAlign w:val="top"/>
          </w:tcPr>
          <w:p w14:paraId="29F45212">
            <w:pPr>
              <w:bidi w:val="0"/>
              <w:jc w:val="center"/>
              <w:rPr>
                <w:b/>
                <w:bCs/>
              </w:rPr>
            </w:pPr>
            <w:bookmarkStart w:id="25" w:name="_Toc389470854"/>
            <w:r>
              <w:rPr>
                <w:b/>
                <w:bCs/>
              </w:rPr>
              <w:t>专栏2 教育体系基本框架示意图</w:t>
            </w:r>
          </w:p>
          <w:p w14:paraId="313C5053">
            <w:pPr>
              <w:ind w:left="0" w:leftChars="0" w:firstLine="0" w:firstLineChars="0"/>
              <w:jc w:val="center"/>
              <w:rPr>
                <w:rFonts w:hint="eastAsia" w:eastAsia="仿宋_GB2312"/>
                <w:b/>
                <w:sz w:val="28"/>
                <w:szCs w:val="28"/>
                <w:lang w:eastAsia="zh-CN"/>
              </w:rPr>
            </w:pPr>
            <w:r>
              <w:rPr>
                <w:rFonts w:eastAsia="仿宋_GB2312"/>
                <w:b/>
                <w:sz w:val="28"/>
                <w:szCs w:val="28"/>
              </w:rPr>
              <w:object>
                <v:shape id="_x0000_i1025" o:spt="75" type="#_x0000_t75" style="height:374.55pt;width:408.05pt;" o:ole="t" filled="f" stroked="f" coordsize="21600,21600">
                  <v:path/>
                  <v:fill on="f" focussize="0,0"/>
                  <v:stroke on="f"/>
                  <v:imagedata r:id="rId9" o:title=""/>
                  <o:lock v:ext="edit" aspectratio="t"/>
                  <w10:wrap type="none"/>
                  <w10:anchorlock/>
                </v:shape>
                <o:OLEObject Type="Embed" ProgID="PBrush" ShapeID="_x0000_i1025" DrawAspect="Content" ObjectID="_1468075725" r:id="rId8">
                  <o:LockedField>false</o:LockedField>
                </o:OLEObject>
              </w:object>
            </w:r>
            <w:r>
              <w:rPr>
                <w:rFonts w:eastAsia="仿宋_GB2312"/>
                <w:b/>
                <w:sz w:val="28"/>
                <w:szCs w:val="28"/>
              </w:rPr>
              <mc:AlternateContent>
                <mc:Choice Requires="wps">
                  <w:drawing>
                    <wp:anchor distT="0" distB="0" distL="114300" distR="114300" simplePos="0" relativeHeight="251661312" behindDoc="0" locked="0" layoutInCell="1" allowOverlap="1">
                      <wp:simplePos x="0" y="0"/>
                      <wp:positionH relativeFrom="column">
                        <wp:posOffset>1296035</wp:posOffset>
                      </wp:positionH>
                      <wp:positionV relativeFrom="paragraph">
                        <wp:posOffset>64135</wp:posOffset>
                      </wp:positionV>
                      <wp:extent cx="1009650" cy="310515"/>
                      <wp:effectExtent l="0" t="0" r="0" b="13335"/>
                      <wp:wrapNone/>
                      <wp:docPr id="5" name="矩形 5"/>
                      <wp:cNvGraphicFramePr/>
                      <a:graphic xmlns:a="http://schemas.openxmlformats.org/drawingml/2006/main">
                        <a:graphicData uri="http://schemas.microsoft.com/office/word/2010/wordprocessingShape">
                          <wps:wsp>
                            <wps:cNvSpPr/>
                            <wps:spPr>
                              <a:xfrm>
                                <a:off x="0" y="0"/>
                                <a:ext cx="1009650" cy="310515"/>
                              </a:xfrm>
                              <a:prstGeom prst="rect">
                                <a:avLst/>
                              </a:prstGeom>
                              <a:solidFill>
                                <a:srgbClr val="FFFFFF"/>
                              </a:solidFill>
                              <a:ln>
                                <a:noFill/>
                              </a:ln>
                            </wps:spPr>
                            <wps:txbx>
                              <w:txbxContent>
                                <w:p w14:paraId="5D589FBC">
                                  <w:pPr>
                                    <w:tabs>
                                      <w:tab w:val="left" w:pos="420"/>
                                    </w:tabs>
                                    <w:jc w:val="center"/>
                                  </w:pPr>
                                </w:p>
                              </w:txbxContent>
                            </wps:txbx>
                            <wps:bodyPr upright="1"/>
                          </wps:wsp>
                        </a:graphicData>
                      </a:graphic>
                    </wp:anchor>
                  </w:drawing>
                </mc:Choice>
                <mc:Fallback>
                  <w:pict>
                    <v:rect id="_x0000_s1026" o:spid="_x0000_s1026" o:spt="1" style="position:absolute;left:0pt;margin-left:102.05pt;margin-top:5.05pt;height:24.45pt;width:79.5pt;z-index:251661312;mso-width-relative:page;mso-height-relative:page;"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4sBcIA&#10;AADaAAAADwAAAGRycy9kb3ducmV2LnhtbESPT4vCMBTE7wt+h/CEva2Ju27RahRZEATdg3/A66N5&#10;tsXmpTZR67c3guBxmJnfMJNZaytxpcaXjjX0ewoEceZMybmG/W7xNQThA7LByjFpuJOH2bTzMcHU&#10;uBtv6LoNuYgQ9ilqKEKoUyl9VpBF33M1cfSOrrEYomxyaRq8Rbit5LdSibRYclwosKa/grLT9mI1&#10;YDIw5//jz3q3uiQ4ylu1+D0orT+77XwMIlAb3uFXe2k0JPC8Em+An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jiwFwgAAANoAAAAPAAAAAAAAAAAAAAAAAJgCAABkcnMvZG93&#10;bnJldi54bWxQSwUGAAAAAAQABAD1AAAAhwMAAAAA&#10;">
                      <v:path/>
                      <v:fill focussize="0,0"/>
                      <v:stroke on="f"/>
                      <v:imagedata o:title=""/>
                      <o:lock v:ext="edit"/>
                      <v:textbox>
                        <w:txbxContent>
                          <w:p w14:paraId="5D589FBC">
                            <w:pPr>
                              <w:tabs>
                                <w:tab w:val="left" w:pos="420"/>
                              </w:tabs>
                              <w:jc w:val="center"/>
                            </w:pPr>
                          </w:p>
                        </w:txbxContent>
                      </v:textbox>
                    </v:rect>
                  </w:pict>
                </mc:Fallback>
              </mc:AlternateContent>
            </w:r>
            <w:r>
              <w:rPr>
                <w:rFonts w:eastAsia="仿宋_GB2312"/>
                <w:b/>
                <w:sz w:val="28"/>
                <w:szCs w:val="28"/>
              </w:rPr>
              <mc:AlternateContent>
                <mc:Choice Requires="wps">
                  <w:drawing>
                    <wp:anchor distT="0" distB="0" distL="114300" distR="114300" simplePos="0" relativeHeight="251660288" behindDoc="0" locked="0" layoutInCell="1" allowOverlap="1">
                      <wp:simplePos x="0" y="0"/>
                      <wp:positionH relativeFrom="column">
                        <wp:posOffset>2258060</wp:posOffset>
                      </wp:positionH>
                      <wp:positionV relativeFrom="paragraph">
                        <wp:posOffset>55245</wp:posOffset>
                      </wp:positionV>
                      <wp:extent cx="1009650" cy="319405"/>
                      <wp:effectExtent l="0" t="0" r="0" b="4445"/>
                      <wp:wrapNone/>
                      <wp:docPr id="3" name="矩形 3"/>
                      <wp:cNvGraphicFramePr/>
                      <a:graphic xmlns:a="http://schemas.openxmlformats.org/drawingml/2006/main">
                        <a:graphicData uri="http://schemas.microsoft.com/office/word/2010/wordprocessingShape">
                          <wps:wsp>
                            <wps:cNvSpPr/>
                            <wps:spPr>
                              <a:xfrm>
                                <a:off x="0" y="0"/>
                                <a:ext cx="1009650" cy="319405"/>
                              </a:xfrm>
                              <a:prstGeom prst="rect">
                                <a:avLst/>
                              </a:prstGeom>
                              <a:solidFill>
                                <a:srgbClr val="FFFFFF"/>
                              </a:solidFill>
                              <a:ln>
                                <a:noFill/>
                              </a:ln>
                            </wps:spPr>
                            <wps:txbx>
                              <w:txbxContent>
                                <w:p w14:paraId="29923FD4">
                                  <w:pPr>
                                    <w:jc w:val="center"/>
                                  </w:pPr>
                                </w:p>
                              </w:txbxContent>
                            </wps:txbx>
                            <wps:bodyPr upright="1"/>
                          </wps:wsp>
                        </a:graphicData>
                      </a:graphic>
                    </wp:anchor>
                  </w:drawing>
                </mc:Choice>
                <mc:Fallback>
                  <w:pict>
                    <v:rect id="_x0000_s1026" o:spid="_x0000_s1026" o:spt="1" style="position:absolute;left:0pt;margin-left:177.8pt;margin-top:4.35pt;height:25.15pt;width:79.5pt;z-index:251660288;mso-width-relative:page;mso-height-relative:page;"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yycsMA&#10;AADaAAAADwAAAGRycy9kb3ducmV2LnhtbESPQWvCQBSE7wX/w/IEb3XXaoJNXUMRBKHtoSr0+sg+&#10;k9Ds25jdmPTfu4VCj8PMfMNs8tE24kadrx1rWMwVCOLCmZpLDefT/nENwgdkg41j0vBDHvLt5GGD&#10;mXEDf9LtGEoRIewz1FCF0GZS+qIii37uWuLoXVxnMUTZldJ0OES4beSTUqm0WHNcqLClXUXF97G3&#10;GjBdmevHZfl+eutTfC5HtU++lNaz6fj6AiLQGP7Df+2D0ZDA75V4A+T2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VyycsMAAADaAAAADwAAAAAAAAAAAAAAAACYAgAAZHJzL2Rv&#10;d25yZXYueG1sUEsFBgAAAAAEAAQA9QAAAIgDAAAAAA==&#10;">
                      <v:path/>
                      <v:fill focussize="0,0"/>
                      <v:stroke on="f"/>
                      <v:imagedata o:title=""/>
                      <o:lock v:ext="edit"/>
                      <v:textbox>
                        <w:txbxContent>
                          <w:p w14:paraId="29923FD4">
                            <w:pPr>
                              <w:jc w:val="center"/>
                            </w:pPr>
                          </w:p>
                        </w:txbxContent>
                      </v:textbox>
                    </v:rect>
                  </w:pict>
                </mc:Fallback>
              </mc:AlternateContent>
            </w:r>
            <w:r>
              <w:rPr>
                <w:rFonts w:eastAsia="仿宋_GB2312"/>
                <w:b/>
                <w:sz w:val="28"/>
                <w:szCs w:val="28"/>
              </w:rPr>
              <mc:AlternateContent>
                <mc:Choice Requires="wps">
                  <w:drawing>
                    <wp:anchor distT="0" distB="0" distL="114300" distR="114300" simplePos="0" relativeHeight="251659264" behindDoc="0" locked="0" layoutInCell="1" allowOverlap="1">
                      <wp:simplePos x="0" y="0"/>
                      <wp:positionH relativeFrom="column">
                        <wp:posOffset>3230880</wp:posOffset>
                      </wp:positionH>
                      <wp:positionV relativeFrom="paragraph">
                        <wp:posOffset>64135</wp:posOffset>
                      </wp:positionV>
                      <wp:extent cx="1009650" cy="320040"/>
                      <wp:effectExtent l="0" t="0" r="0" b="3810"/>
                      <wp:wrapNone/>
                      <wp:docPr id="4" name="矩形 4"/>
                      <wp:cNvGraphicFramePr/>
                      <a:graphic xmlns:a="http://schemas.openxmlformats.org/drawingml/2006/main">
                        <a:graphicData uri="http://schemas.microsoft.com/office/word/2010/wordprocessingShape">
                          <wps:wsp>
                            <wps:cNvSpPr/>
                            <wps:spPr>
                              <a:xfrm>
                                <a:off x="0" y="0"/>
                                <a:ext cx="1009650" cy="320040"/>
                              </a:xfrm>
                              <a:prstGeom prst="rect">
                                <a:avLst/>
                              </a:prstGeom>
                              <a:solidFill>
                                <a:srgbClr val="FFFFFF"/>
                              </a:solidFill>
                              <a:ln>
                                <a:noFill/>
                              </a:ln>
                            </wps:spPr>
                            <wps:txbx>
                              <w:txbxContent>
                                <w:p w14:paraId="6C2C2E35"/>
                              </w:txbxContent>
                            </wps:txbx>
                            <wps:bodyPr upright="1"/>
                          </wps:wsp>
                        </a:graphicData>
                      </a:graphic>
                    </wp:anchor>
                  </w:drawing>
                </mc:Choice>
                <mc:Fallback>
                  <w:pict>
                    <v:rect id="_x0000_s1026" o:spid="_x0000_s1026" o:spt="1" style="position:absolute;left:0pt;margin-left:254.4pt;margin-top:5.05pt;height:25.2pt;width:79.5pt;z-index:251659264;mso-width-relative:page;mso-height-relative:page;"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AX6cMA&#10;AADaAAAADwAAAGRycy9kb3ducmV2LnhtbESPQWvCQBSE70L/w/KE3nTXqqFNXUMRAoXqQS30+sg+&#10;k9Ds2zS7iem/dwsFj8PMfMNsstE2YqDO1441LOYKBHHhTM2lhs9zPnsG4QOywcYxafglD9n2YbLB&#10;1LgrH2k4hVJECPsUNVQhtKmUvqjIop+7ljh6F9dZDFF2pTQdXiPcNvJJqURarDkuVNjSrqLi+9Rb&#10;DZiszM/hstyfP/oEX8pR5esvpfXjdHx7BRFoDPfwf/vdaFjB35V4A+T2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hAX6cMAAADaAAAADwAAAAAAAAAAAAAAAACYAgAAZHJzL2Rv&#10;d25yZXYueG1sUEsFBgAAAAAEAAQA9QAAAIgDAAAAAA==&#10;">
                      <v:path/>
                      <v:fill focussize="0,0"/>
                      <v:stroke on="f"/>
                      <v:imagedata o:title=""/>
                      <o:lock v:ext="edit"/>
                      <v:textbox>
                        <w:txbxContent>
                          <w:p w14:paraId="6C2C2E35"/>
                        </w:txbxContent>
                      </v:textbox>
                    </v:rect>
                  </w:pict>
                </mc:Fallback>
              </mc:AlternateContent>
            </w:r>
          </w:p>
          <w:p w14:paraId="51015C3F">
            <w:pPr>
              <w:jc w:val="center"/>
              <w:rPr>
                <w:rFonts w:eastAsia="仿宋_GB2312"/>
                <w:b/>
                <w:sz w:val="28"/>
                <w:szCs w:val="28"/>
              </w:rPr>
            </w:pPr>
            <w:r>
              <w:rPr>
                <w:rFonts w:hint="eastAsia" w:eastAsia="仿宋_GB2312"/>
                <w:b/>
                <w:sz w:val="28"/>
                <w:szCs w:val="28"/>
              </w:rPr>
              <w:t>普通教育体系        职业教育体系     继续教育体系</w:t>
            </w:r>
          </w:p>
        </w:tc>
      </w:tr>
    </w:tbl>
    <w:p w14:paraId="03048212">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（一）职业教育的层次结构。</w:t>
      </w:r>
      <w:bookmarkEnd w:id="25"/>
    </w:p>
    <w:p w14:paraId="4BB59EE0">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初等职业教育。</w:t>
      </w:r>
      <w:r>
        <w:rPr>
          <w:rFonts w:hint="eastAsia" w:ascii="仿宋_GB2312" w:hAnsi="仿宋_GB2312" w:eastAsia="仿宋_GB2312" w:cs="仿宋_GB2312"/>
          <w:sz w:val="30"/>
          <w:szCs w:val="30"/>
        </w:rPr>
        <w:t xml:space="preserve">在有需要的地方继续办好初等职业教育学校。各类职业院校、培训机构和用人单位内部开展实用技术技能培训，使学习者获得基本的工作和生活技能。 </w:t>
      </w:r>
    </w:p>
    <w:p w14:paraId="4B7439A1">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中等职业教育。</w:t>
      </w:r>
      <w:r>
        <w:rPr>
          <w:rFonts w:hint="eastAsia" w:ascii="仿宋_GB2312" w:hAnsi="仿宋_GB2312" w:eastAsia="仿宋_GB2312" w:cs="仿宋_GB2312"/>
          <w:sz w:val="30"/>
          <w:szCs w:val="30"/>
        </w:rPr>
        <w:t>中等职业教育在现代职业教育体系中具有基础作用，为初高中毕业生开展基础性的知识、技术和技能教育，培养技能人才。中等职业教育是职业教育发展的重点，今后一个时期总体保持普通高中和中等职业学校招生规模大体相当。</w:t>
      </w:r>
    </w:p>
    <w:p w14:paraId="702AB40D">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高等职业教育。</w:t>
      </w:r>
      <w:r>
        <w:rPr>
          <w:rFonts w:hint="eastAsia" w:ascii="仿宋_GB2312" w:hAnsi="仿宋_GB2312" w:eastAsia="仿宋_GB2312" w:cs="仿宋_GB2312"/>
          <w:sz w:val="30"/>
          <w:szCs w:val="30"/>
        </w:rPr>
        <w:t>在办好现有专科层次高等职业（专科）学校的基础上，发展应用技术类型高校，培养本科层次职业人才。应用技术类型高等学校是高等教育体系的重要组成部分，与其他普通本科学校具有平等地位。高等职业教育规模占高等教育的一半以上，本科层次职业教育达到一定规模。建立以提升职业能力为导向的专业学位研究生培养模式。根据高等学校设置制度规定，将符合条件的技师学院纳入高等学校序列。</w:t>
      </w:r>
    </w:p>
    <w:p w14:paraId="236611E6">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b/>
          <w:bCs/>
          <w:sz w:val="30"/>
          <w:szCs w:val="30"/>
        </w:rPr>
      </w:pPr>
      <w:bookmarkStart w:id="26" w:name="_Toc389470855"/>
      <w:r>
        <w:rPr>
          <w:rFonts w:hint="eastAsia" w:ascii="仿宋_GB2312" w:hAnsi="仿宋_GB2312" w:eastAsia="仿宋_GB2312" w:cs="仿宋_GB2312"/>
          <w:b/>
          <w:bCs/>
          <w:sz w:val="30"/>
          <w:szCs w:val="30"/>
        </w:rPr>
        <w:t>（二）职业教育的终身一体。</w:t>
      </w:r>
      <w:bookmarkEnd w:id="26"/>
    </w:p>
    <w:p w14:paraId="6F861D6A">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职业辅导教育。</w:t>
      </w:r>
      <w:r>
        <w:rPr>
          <w:rFonts w:hint="eastAsia" w:ascii="仿宋_GB2312" w:hAnsi="仿宋_GB2312" w:eastAsia="仿宋_GB2312" w:cs="仿宋_GB2312"/>
          <w:sz w:val="30"/>
          <w:szCs w:val="30"/>
        </w:rPr>
        <w:t>普通教育学校为在校生和未升学毕业生提供多种形式职业发展辅导。普通高中根据需要适当增加职业技术教育内容。职业院校和普通教育学校开展以职业道德、职业发展、就业准备、创业指导等为主要内容的就业教育和服务。</w:t>
      </w:r>
    </w:p>
    <w:p w14:paraId="7D4A073F">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职业继续教育。</w:t>
      </w:r>
      <w:r>
        <w:rPr>
          <w:rFonts w:hint="eastAsia" w:ascii="仿宋_GB2312" w:hAnsi="仿宋_GB2312" w:eastAsia="仿宋_GB2312" w:cs="仿宋_GB2312"/>
          <w:sz w:val="30"/>
          <w:szCs w:val="30"/>
        </w:rPr>
        <w:t>各类职业院校是继续教育的重要主体，通过多种教育形式为所有劳动者提供终身学习机会。企事业单位举办职工教育，建立制度化的岗位培训体系。社会培训机构是职业继续教育的重要组成部分，依法自主开展职业培训和承接政府组织的职业培训。</w:t>
      </w:r>
    </w:p>
    <w:p w14:paraId="05F5E0BF">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劳动者终身学习。</w:t>
      </w:r>
      <w:r>
        <w:rPr>
          <w:rFonts w:hint="eastAsia" w:ascii="仿宋_GB2312" w:hAnsi="仿宋_GB2312" w:eastAsia="仿宋_GB2312" w:cs="仿宋_GB2312"/>
          <w:sz w:val="30"/>
          <w:szCs w:val="30"/>
        </w:rPr>
        <w:t>增强职业教育体系的开放性和多样性，使劳动者能够在职业发展的不同阶段通过多次选择、多种方式灵活接受职业教育和培训，促进学习者为职业发展而学习，使职业教育成为促进全体劳动者可持续发展的教育。</w:t>
      </w:r>
    </w:p>
    <w:p w14:paraId="58BB8A61">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bookmarkStart w:id="27" w:name="_Toc389470856"/>
      <w:r>
        <w:rPr>
          <w:rFonts w:hint="eastAsia" w:ascii="仿宋_GB2312" w:hAnsi="仿宋_GB2312" w:eastAsia="仿宋_GB2312" w:cs="仿宋_GB2312"/>
          <w:b/>
          <w:bCs/>
          <w:sz w:val="30"/>
          <w:szCs w:val="30"/>
        </w:rPr>
        <w:t>（三）职业教育的办学类型。</w:t>
      </w:r>
      <w:bookmarkEnd w:id="27"/>
    </w:p>
    <w:p w14:paraId="4EA8E9C1">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政府办学、企业办学和社会办学。</w:t>
      </w:r>
      <w:r>
        <w:rPr>
          <w:rFonts w:hint="eastAsia" w:ascii="仿宋_GB2312" w:hAnsi="仿宋_GB2312" w:eastAsia="仿宋_GB2312" w:cs="仿宋_GB2312"/>
          <w:sz w:val="30"/>
          <w:szCs w:val="30"/>
        </w:rPr>
        <w:t>建立政府、企业和其他社会力量共同发挥办学主体作用，公办和民办职业院校共同发展的职业教育办学体制。政府实行统一的准入制度，办好骨干职业院校，支持社会力量办学。各类主体兴办的职业院校具有同等法律地位，依法公平、公开竞争。</w:t>
      </w:r>
    </w:p>
    <w:p w14:paraId="3A64E4F8">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全日制职业教育与非全日制职业教育。</w:t>
      </w:r>
      <w:r>
        <w:rPr>
          <w:rFonts w:hint="eastAsia" w:ascii="仿宋_GB2312" w:hAnsi="仿宋_GB2312" w:eastAsia="仿宋_GB2312" w:cs="仿宋_GB2312"/>
          <w:sz w:val="30"/>
          <w:szCs w:val="30"/>
        </w:rPr>
        <w:t>增加非全日制职业教育在职业教育中的比重，发展工学交替、双元制、学徒制、半工半读、远程教育等各种灵活学习方式的职业教育。通过改革学制、学籍和学分管理制度，实现全日制职业教育和非全日制职业教育的统筹管理。</w:t>
      </w:r>
    </w:p>
    <w:p w14:paraId="48C38CF3">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学历职业教育与非学历职业教育。</w:t>
      </w:r>
      <w:r>
        <w:rPr>
          <w:rFonts w:hint="eastAsia" w:ascii="仿宋_GB2312" w:hAnsi="仿宋_GB2312" w:eastAsia="仿宋_GB2312" w:cs="仿宋_GB2312"/>
          <w:sz w:val="30"/>
          <w:szCs w:val="30"/>
        </w:rPr>
        <w:t>职业院校同时开展学历职业教育和非学历职业教育，满足行业、企业和社区的多样化需求。职业院校和职业培训机构开展的非学历职业教育可以通过质量认证体系、学分积累和转换制度、学分银行和职业资格考试进行学历认证。</w:t>
      </w:r>
    </w:p>
    <w:p w14:paraId="0F7DC11B">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b/>
          <w:bCs/>
          <w:sz w:val="30"/>
          <w:szCs w:val="30"/>
        </w:rPr>
      </w:pPr>
      <w:bookmarkStart w:id="28" w:name="_Toc389470857"/>
      <w:r>
        <w:rPr>
          <w:rFonts w:hint="eastAsia" w:ascii="仿宋_GB2312" w:hAnsi="仿宋_GB2312" w:eastAsia="仿宋_GB2312" w:cs="仿宋_GB2312"/>
          <w:b/>
          <w:bCs/>
          <w:sz w:val="30"/>
          <w:szCs w:val="30"/>
        </w:rPr>
        <w:t>（四）职业教育的开放沟通。</w:t>
      </w:r>
      <w:bookmarkEnd w:id="28"/>
    </w:p>
    <w:p w14:paraId="71B4A625">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职业教育体系内部。</w:t>
      </w:r>
      <w:r>
        <w:rPr>
          <w:rFonts w:hint="eastAsia" w:ascii="仿宋_GB2312" w:hAnsi="仿宋_GB2312" w:eastAsia="仿宋_GB2312" w:cs="仿宋_GB2312"/>
          <w:sz w:val="30"/>
          <w:szCs w:val="30"/>
        </w:rPr>
        <w:t>系统构建从中职、专科、本科到专业学位研究生的培养体系，满足各层次技术技能人才的教育需求，服务一线劳动者的职业成长。拓宽高等职业学校招收中等职业学校毕业生、应用技术类型高等学校招收职业院校毕业生通道，打开职业院校学生的成长空间。在确有需要的职业领域，可以实行中职、专科、本科贯通培养。</w:t>
      </w:r>
    </w:p>
    <w:p w14:paraId="3D95ADB6">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职业教育与普通教育。</w:t>
      </w:r>
      <w:r>
        <w:rPr>
          <w:rFonts w:hint="eastAsia" w:ascii="仿宋_GB2312" w:hAnsi="仿宋_GB2312" w:eastAsia="仿宋_GB2312" w:cs="仿宋_GB2312"/>
          <w:sz w:val="30"/>
          <w:szCs w:val="30"/>
        </w:rPr>
        <w:t>建立职业教育和普通教育双向沟通的桥梁。普通学校和职业院校可以开展课程和学分互认。学习者可以通过考试在普通学校和职业院校之间转学、升学。普通高等学校可以招收职业院校毕业生，并与职业院校联合培养高层次应用型人才。</w:t>
      </w:r>
    </w:p>
    <w:p w14:paraId="35CAF33C">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职业教育与人力资源市场。</w:t>
      </w:r>
      <w:r>
        <w:rPr>
          <w:rFonts w:hint="eastAsia" w:ascii="仿宋_GB2312" w:hAnsi="仿宋_GB2312" w:eastAsia="仿宋_GB2312" w:cs="仿宋_GB2312"/>
          <w:sz w:val="30"/>
          <w:szCs w:val="30"/>
        </w:rPr>
        <w:t>职业院校按照经济社会发展的需求确定人才培养的规格层次、专业体系、培养方式和质量标准。畅通一线劳动者继续学习深造的路径，增加有工作经验的技术技能人才在职业院校学生中的比重，建立在职人员学习-就业-再学习的通道，实现优秀人才在职业领域与教育领域的顺畅转换。</w:t>
      </w:r>
    </w:p>
    <w:p w14:paraId="5C61759E">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黑体" w:hAnsi="黑体" w:eastAsia="黑体" w:cs="黑体"/>
          <w:sz w:val="30"/>
          <w:szCs w:val="30"/>
        </w:rPr>
      </w:pPr>
      <w:bookmarkStart w:id="29" w:name="_Toc326133246"/>
      <w:bookmarkStart w:id="30" w:name="_Toc389470858"/>
      <w:r>
        <w:rPr>
          <w:rFonts w:hint="eastAsia" w:ascii="黑体" w:hAnsi="黑体" w:eastAsia="黑体" w:cs="黑体"/>
          <w:sz w:val="30"/>
          <w:szCs w:val="30"/>
        </w:rPr>
        <w:t>四、</w:t>
      </w:r>
      <w:bookmarkEnd w:id="29"/>
      <w:r>
        <w:rPr>
          <w:rFonts w:hint="eastAsia" w:ascii="黑体" w:hAnsi="黑体" w:eastAsia="黑体" w:cs="黑体"/>
          <w:sz w:val="30"/>
          <w:szCs w:val="30"/>
          <w:lang w:eastAsia="zh-CN"/>
        </w:rPr>
        <w:t>体系建设的重点任务</w:t>
      </w:r>
      <w:bookmarkEnd w:id="30"/>
    </w:p>
    <w:p w14:paraId="4493A707">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以现代教育理念为先导，加强现代职业教育体系建设的重点领域和薄弱环节。</w:t>
      </w:r>
    </w:p>
    <w:p w14:paraId="0DF1BCBE">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b/>
          <w:bCs/>
          <w:sz w:val="30"/>
          <w:szCs w:val="30"/>
        </w:rPr>
      </w:pPr>
      <w:bookmarkStart w:id="31" w:name="_Toc389470859"/>
      <w:r>
        <w:rPr>
          <w:rFonts w:hint="eastAsia" w:ascii="仿宋_GB2312" w:hAnsi="仿宋_GB2312" w:eastAsia="仿宋_GB2312" w:cs="仿宋_GB2312"/>
          <w:b/>
          <w:bCs/>
          <w:sz w:val="30"/>
          <w:szCs w:val="30"/>
        </w:rPr>
        <w:t>（一）优化职业教育服务产业布局。</w:t>
      </w:r>
      <w:bookmarkEnd w:id="31"/>
    </w:p>
    <w:p w14:paraId="170D7640">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大力发展现代农业职业教育。</w:t>
      </w:r>
      <w:r>
        <w:rPr>
          <w:rFonts w:hint="eastAsia" w:ascii="仿宋_GB2312" w:hAnsi="仿宋_GB2312" w:eastAsia="仿宋_GB2312" w:cs="仿宋_GB2312"/>
          <w:sz w:val="30"/>
          <w:szCs w:val="30"/>
        </w:rPr>
        <w:t>以培养新型职业农民为重点，建立公益性农民培养培训制度。推进农民继续教育工程，创新农学结合模式。以农业职业院校为主体，构建覆盖全国、服务完善的现代职业农民教育网络。依托农业高等学校、职业院校组建农业教育集团，培养多层次农业技术人才，参与农业技术推广体系建设。鼓励企业、行业协会、农业合作社举办或参与举办农业职业院校，参与涉农专业、课程和人才培养模式改革。提高农村基础教育、职业教育和成人继续教育统筹水平，促进农科教结合。推动一批县（区）在农村职业教育和成人教育改革发展方面发挥示范作用。</w:t>
      </w:r>
    </w:p>
    <w:p w14:paraId="1453B1DA">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提升服务工业转型升级能力。</w:t>
      </w:r>
      <w:r>
        <w:rPr>
          <w:rFonts w:hint="eastAsia" w:ascii="仿宋_GB2312" w:hAnsi="仿宋_GB2312" w:eastAsia="仿宋_GB2312" w:cs="仿宋_GB2312"/>
          <w:sz w:val="30"/>
          <w:szCs w:val="30"/>
        </w:rPr>
        <w:t>根据国家发展先进制造业的战略部署，按照现代生产方式和产业技术进步要求，重点培养掌握新技术、具备高技能的高素质技术技能人才。适应战略性新兴产业、现代能源产业、海洋产业、综合交通运输体系、生态环境保护等领域的发展需要，优先发展相关新兴专业，提高中国制造和中国装备的市场竞争力，加快完善人才支撑体系。</w:t>
      </w:r>
    </w:p>
    <w:p w14:paraId="52265203">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加快培养服务现代服务业人才。</w:t>
      </w:r>
      <w:r>
        <w:rPr>
          <w:rFonts w:hint="eastAsia" w:ascii="仿宋_GB2312" w:hAnsi="仿宋_GB2312" w:eastAsia="仿宋_GB2312" w:cs="仿宋_GB2312"/>
          <w:sz w:val="30"/>
          <w:szCs w:val="30"/>
        </w:rPr>
        <w:t>根据服务业加快发展的趋势，逐步提高面向服务业的职业教育比重。重点加强服务金融、物流、商务、医疗、健康和高技术服务等现代服务业的职业教育，培养具有较高文化素质和技术技能素质的新型服务人才。深化文化艺术类职业教育改革，重点培养文化创意人才、基层文化人才，传承创新民族文化和民族工艺，推动文化产业成为国民经济支柱性产业。</w:t>
      </w:r>
    </w:p>
    <w:p w14:paraId="0E41994F">
      <w:pPr>
        <w:keepNext w:val="0"/>
        <w:keepLines w:val="0"/>
        <w:pageBreakBefore w:val="0"/>
        <w:widowControl w:val="0"/>
        <w:kinsoku/>
        <w:wordWrap/>
        <w:overflowPunct/>
        <w:topLinePunct w:val="0"/>
        <w:autoSpaceDE/>
        <w:autoSpaceDN/>
        <w:bidi w:val="0"/>
        <w:adjustRightInd w:val="0"/>
        <w:snapToGrid w:val="0"/>
        <w:spacing w:line="540" w:lineRule="exact"/>
        <w:textAlignment w:val="auto"/>
      </w:pPr>
      <w:r>
        <w:rPr>
          <w:rFonts w:hint="eastAsia" w:ascii="仿宋_GB2312" w:hAnsi="仿宋_GB2312" w:eastAsia="仿宋_GB2312" w:cs="仿宋_GB2312"/>
          <w:b/>
          <w:bCs/>
          <w:sz w:val="30"/>
          <w:szCs w:val="30"/>
        </w:rPr>
        <w:t>加紧满足社会建设和社会管理人才需求。</w:t>
      </w:r>
      <w:r>
        <w:rPr>
          <w:rFonts w:hint="eastAsia" w:ascii="仿宋_GB2312" w:hAnsi="仿宋_GB2312" w:eastAsia="仿宋_GB2312" w:cs="仿宋_GB2312"/>
          <w:sz w:val="30"/>
          <w:szCs w:val="30"/>
        </w:rPr>
        <w:t>发挥职业教育植根社区、服务社区的重要作用，推动职业院校面向基层，积极开设城镇管理、乡村建设、社会保障、社区工作、文化体育、环境卫生、老龄服务等专业，培养下得去、留得住的有文化、懂技术、善沟通的高素质社会管理和服务工作者</w:t>
      </w:r>
      <w:r>
        <w:t>。</w:t>
      </w:r>
    </w:p>
    <w:tbl>
      <w:tblPr>
        <w:tblStyle w:val="1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86"/>
        <w:gridCol w:w="7151"/>
      </w:tblGrid>
      <w:tr w14:paraId="528BD3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6" w:hRule="atLeast"/>
          <w:jc w:val="center"/>
        </w:trPr>
        <w:tc>
          <w:tcPr>
            <w:tcW w:w="8537" w:type="dxa"/>
            <w:gridSpan w:val="2"/>
            <w:tcBorders>
              <w:top w:val="single" w:color="auto" w:sz="4" w:space="0"/>
            </w:tcBorders>
            <w:noWrap w:val="0"/>
            <w:vAlign w:val="center"/>
          </w:tcPr>
          <w:p w14:paraId="3B93EEA2">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2"/>
              </w:rPr>
            </w:pPr>
            <w:r>
              <w:rPr>
                <w:b/>
                <w:bCs/>
                <w:sz w:val="24"/>
                <w:szCs w:val="22"/>
              </w:rPr>
              <w:t>专栏3 经济和社会重点领域与技术技能人才培养</w:t>
            </w:r>
          </w:p>
        </w:tc>
      </w:tr>
      <w:tr w14:paraId="613D7A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67" w:hRule="atLeast"/>
          <w:jc w:val="center"/>
        </w:trPr>
        <w:tc>
          <w:tcPr>
            <w:tcW w:w="1386" w:type="dxa"/>
            <w:tcBorders>
              <w:top w:val="single" w:color="auto" w:sz="4" w:space="0"/>
            </w:tcBorders>
            <w:noWrap w:val="0"/>
            <w:vAlign w:val="center"/>
          </w:tcPr>
          <w:p w14:paraId="296CFBE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2"/>
              </w:rPr>
            </w:pPr>
            <w:r>
              <w:rPr>
                <w:sz w:val="24"/>
                <w:szCs w:val="22"/>
              </w:rPr>
              <w:t>现代农业</w:t>
            </w:r>
          </w:p>
        </w:tc>
        <w:tc>
          <w:tcPr>
            <w:tcW w:w="7151" w:type="dxa"/>
            <w:noWrap w:val="0"/>
            <w:vAlign w:val="center"/>
          </w:tcPr>
          <w:p w14:paraId="4C1B913E">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2"/>
              </w:rPr>
            </w:pPr>
            <w:r>
              <w:rPr>
                <w:sz w:val="24"/>
                <w:szCs w:val="22"/>
              </w:rPr>
              <w:t>加强农业职业教育，培养适应农业产业化和科技进步的新型职业农民。加强适应现代农业生产方式的技术人才、流通人才、经营和管理人才培养，支持农业结构战略性调整。</w:t>
            </w:r>
          </w:p>
        </w:tc>
      </w:tr>
      <w:tr w14:paraId="068D27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2" w:hRule="atLeast"/>
          <w:jc w:val="center"/>
        </w:trPr>
        <w:tc>
          <w:tcPr>
            <w:tcW w:w="1386" w:type="dxa"/>
            <w:noWrap w:val="0"/>
            <w:vAlign w:val="center"/>
          </w:tcPr>
          <w:p w14:paraId="68A19AC6">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2"/>
              </w:rPr>
            </w:pPr>
            <w:r>
              <w:rPr>
                <w:sz w:val="24"/>
                <w:szCs w:val="22"/>
              </w:rPr>
              <w:t>制造业</w:t>
            </w:r>
          </w:p>
        </w:tc>
        <w:tc>
          <w:tcPr>
            <w:tcW w:w="7151" w:type="dxa"/>
            <w:noWrap w:val="0"/>
            <w:vAlign w:val="center"/>
          </w:tcPr>
          <w:p w14:paraId="0A84CF46">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2"/>
              </w:rPr>
            </w:pPr>
            <w:r>
              <w:rPr>
                <w:sz w:val="24"/>
                <w:szCs w:val="22"/>
              </w:rPr>
              <w:t>加快培养适应工业转型升级需要的技术技能人才，使劳动者素质的提升与制造技术、生产工艺和流程的现代化保持同步，实现产业核心技术技能的传承、积累和创新发展，促进制造业由大变强。</w:t>
            </w:r>
          </w:p>
        </w:tc>
      </w:tr>
      <w:tr w14:paraId="3922E1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55" w:hRule="atLeast"/>
          <w:jc w:val="center"/>
        </w:trPr>
        <w:tc>
          <w:tcPr>
            <w:tcW w:w="1386" w:type="dxa"/>
            <w:noWrap w:val="0"/>
            <w:vAlign w:val="center"/>
          </w:tcPr>
          <w:p w14:paraId="2BEA383B">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2"/>
              </w:rPr>
            </w:pPr>
            <w:r>
              <w:rPr>
                <w:sz w:val="24"/>
                <w:szCs w:val="22"/>
              </w:rPr>
              <w:t>服务业</w:t>
            </w:r>
          </w:p>
        </w:tc>
        <w:tc>
          <w:tcPr>
            <w:tcW w:w="7151" w:type="dxa"/>
            <w:noWrap w:val="0"/>
            <w:vAlign w:val="center"/>
          </w:tcPr>
          <w:p w14:paraId="0E411006">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2"/>
              </w:rPr>
            </w:pPr>
            <w:r>
              <w:rPr>
                <w:sz w:val="24"/>
                <w:szCs w:val="22"/>
              </w:rPr>
              <w:t>面向金融服务、现代物流、商务服务、社会工作服务和高技术服务领域，培养具备高尚职业道德、较高人文素养、通晓国际标准和高超技术技能的专门人才，通过人才专业化提升服务业的竞争力。适应老龄服务事业和产业发展需要，加快相关人才培养。</w:t>
            </w:r>
          </w:p>
        </w:tc>
      </w:tr>
      <w:tr w14:paraId="2553D0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0" w:hRule="atLeast"/>
          <w:jc w:val="center"/>
        </w:trPr>
        <w:tc>
          <w:tcPr>
            <w:tcW w:w="1386" w:type="dxa"/>
            <w:noWrap w:val="0"/>
            <w:vAlign w:val="center"/>
          </w:tcPr>
          <w:p w14:paraId="2A177C2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2"/>
              </w:rPr>
            </w:pPr>
            <w:r>
              <w:rPr>
                <w:sz w:val="24"/>
                <w:szCs w:val="22"/>
              </w:rPr>
              <w:t>战略性新兴产业</w:t>
            </w:r>
          </w:p>
        </w:tc>
        <w:tc>
          <w:tcPr>
            <w:tcW w:w="7151" w:type="dxa"/>
            <w:noWrap w:val="0"/>
            <w:vAlign w:val="center"/>
          </w:tcPr>
          <w:p w14:paraId="5642BEBC">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2"/>
              </w:rPr>
            </w:pPr>
            <w:r>
              <w:rPr>
                <w:sz w:val="24"/>
                <w:szCs w:val="22"/>
              </w:rPr>
              <w:t>坚持自主创新带动与技术技能人才支撑并重的人才发展战略，加强战略性新兴产业相关专业建设，培养、储备应用先进技术、使用先进装备和具有工艺创新能力的高层次技术技能人才。</w:t>
            </w:r>
          </w:p>
        </w:tc>
      </w:tr>
      <w:tr w14:paraId="6E76C4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4" w:hRule="atLeast"/>
          <w:jc w:val="center"/>
        </w:trPr>
        <w:tc>
          <w:tcPr>
            <w:tcW w:w="1386" w:type="dxa"/>
            <w:noWrap w:val="0"/>
            <w:vAlign w:val="center"/>
          </w:tcPr>
          <w:p w14:paraId="1F24EF0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2"/>
              </w:rPr>
            </w:pPr>
            <w:r>
              <w:rPr>
                <w:sz w:val="24"/>
                <w:szCs w:val="22"/>
              </w:rPr>
              <w:t>能源产业</w:t>
            </w:r>
          </w:p>
        </w:tc>
        <w:tc>
          <w:tcPr>
            <w:tcW w:w="7151" w:type="dxa"/>
            <w:noWrap w:val="0"/>
            <w:vAlign w:val="center"/>
          </w:tcPr>
          <w:p w14:paraId="3222B3B2">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2"/>
              </w:rPr>
            </w:pPr>
            <w:r>
              <w:rPr>
                <w:sz w:val="24"/>
                <w:szCs w:val="22"/>
              </w:rPr>
              <w:t>适应现代能源产业体系建设需要，加强新能源、可再生能源相关专业建设，加快节能环保、污染物防治与安全处置、资源回收与循环利用等相关产业技术技能人才培养。</w:t>
            </w:r>
          </w:p>
        </w:tc>
      </w:tr>
      <w:tr w14:paraId="6248A8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97" w:hRule="atLeast"/>
          <w:jc w:val="center"/>
        </w:trPr>
        <w:tc>
          <w:tcPr>
            <w:tcW w:w="1386" w:type="dxa"/>
            <w:noWrap w:val="0"/>
            <w:vAlign w:val="center"/>
          </w:tcPr>
          <w:p w14:paraId="49B743A5">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2"/>
              </w:rPr>
            </w:pPr>
            <w:r>
              <w:rPr>
                <w:sz w:val="24"/>
                <w:szCs w:val="22"/>
              </w:rPr>
              <w:t>交通运输</w:t>
            </w:r>
          </w:p>
        </w:tc>
        <w:tc>
          <w:tcPr>
            <w:tcW w:w="7151" w:type="dxa"/>
            <w:noWrap w:val="0"/>
            <w:vAlign w:val="center"/>
          </w:tcPr>
          <w:p w14:paraId="370A706A">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2"/>
              </w:rPr>
            </w:pPr>
            <w:r>
              <w:rPr>
                <w:sz w:val="24"/>
                <w:szCs w:val="22"/>
              </w:rPr>
              <w:t>服务综合交通运输体系建设，改造提升交通运输相关专业，优化人才培养结构，加快轨道交通、民航、公共交通等急需技术技能人才培养，提高从业人员素质。</w:t>
            </w:r>
          </w:p>
        </w:tc>
      </w:tr>
      <w:tr w14:paraId="531F51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65" w:hRule="atLeast"/>
          <w:jc w:val="center"/>
        </w:trPr>
        <w:tc>
          <w:tcPr>
            <w:tcW w:w="1386" w:type="dxa"/>
            <w:noWrap w:val="0"/>
            <w:vAlign w:val="center"/>
          </w:tcPr>
          <w:p w14:paraId="08DEC023">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2"/>
              </w:rPr>
            </w:pPr>
            <w:r>
              <w:rPr>
                <w:sz w:val="24"/>
                <w:szCs w:val="22"/>
              </w:rPr>
              <w:t>海洋产业</w:t>
            </w:r>
          </w:p>
        </w:tc>
        <w:tc>
          <w:tcPr>
            <w:tcW w:w="7151" w:type="dxa"/>
            <w:noWrap w:val="0"/>
            <w:vAlign w:val="center"/>
          </w:tcPr>
          <w:p w14:paraId="0C5DB9A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2"/>
              </w:rPr>
            </w:pPr>
            <w:r>
              <w:rPr>
                <w:sz w:val="24"/>
                <w:szCs w:val="22"/>
              </w:rPr>
              <w:t>加强海洋类职业院校和专业建设，加快海洋油气业、海洋渔业、海洋船舶业等海洋传统产业</w:t>
            </w:r>
            <w:r>
              <w:rPr>
                <w:rFonts w:hint="eastAsia"/>
                <w:sz w:val="24"/>
                <w:szCs w:val="22"/>
              </w:rPr>
              <w:t>，</w:t>
            </w:r>
            <w:r>
              <w:rPr>
                <w:sz w:val="24"/>
                <w:szCs w:val="22"/>
              </w:rPr>
              <w:t>海洋交通运输业、海洋旅游业等海洋服务业，以及海洋装备制造业等海洋新兴产业急需的技术技能人才培养，为发展壮大海洋经济和增强海洋开发利用能力提供人才支撑。</w:t>
            </w:r>
          </w:p>
        </w:tc>
      </w:tr>
      <w:tr w14:paraId="77A69E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65" w:hRule="atLeast"/>
          <w:jc w:val="center"/>
        </w:trPr>
        <w:tc>
          <w:tcPr>
            <w:tcW w:w="1386" w:type="dxa"/>
            <w:noWrap w:val="0"/>
            <w:vAlign w:val="center"/>
          </w:tcPr>
          <w:p w14:paraId="2CC22D55">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2"/>
              </w:rPr>
            </w:pPr>
            <w:r>
              <w:rPr>
                <w:sz w:val="24"/>
                <w:szCs w:val="22"/>
              </w:rPr>
              <w:t>社会建设与社会管理</w:t>
            </w:r>
          </w:p>
        </w:tc>
        <w:tc>
          <w:tcPr>
            <w:tcW w:w="7151" w:type="dxa"/>
            <w:noWrap w:val="0"/>
            <w:vAlign w:val="center"/>
          </w:tcPr>
          <w:p w14:paraId="7FE4F58D">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2"/>
              </w:rPr>
            </w:pPr>
            <w:r>
              <w:rPr>
                <w:sz w:val="24"/>
                <w:szCs w:val="22"/>
              </w:rPr>
              <w:t>支持职业院校围绕城乡发展、社会管理、社区服务、基层文化建设，培养基层管理和公共服务人才。</w:t>
            </w:r>
          </w:p>
        </w:tc>
      </w:tr>
      <w:tr w14:paraId="0B62B3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5" w:hRule="atLeast"/>
          <w:jc w:val="center"/>
        </w:trPr>
        <w:tc>
          <w:tcPr>
            <w:tcW w:w="1386" w:type="dxa"/>
            <w:noWrap w:val="0"/>
            <w:vAlign w:val="center"/>
          </w:tcPr>
          <w:p w14:paraId="17B80710">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2"/>
              </w:rPr>
            </w:pPr>
            <w:r>
              <w:rPr>
                <w:sz w:val="24"/>
                <w:szCs w:val="22"/>
              </w:rPr>
              <w:t>文化产业</w:t>
            </w:r>
          </w:p>
        </w:tc>
        <w:tc>
          <w:tcPr>
            <w:tcW w:w="7151" w:type="dxa"/>
            <w:noWrap w:val="0"/>
            <w:vAlign w:val="center"/>
          </w:tcPr>
          <w:p w14:paraId="288AC1BC">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sz w:val="24"/>
                <w:szCs w:val="22"/>
              </w:rPr>
            </w:pPr>
            <w:r>
              <w:rPr>
                <w:sz w:val="24"/>
                <w:szCs w:val="22"/>
              </w:rPr>
              <w:t>适应文化产业的发展需要，加强文化创意、影视制作、出版发行等重点文化产业技术技能人才的培养。依托职业教育体系保护、传承和创新民族传统工艺与非物质文化遗产，培养各民族文艺人才。</w:t>
            </w:r>
          </w:p>
        </w:tc>
      </w:tr>
    </w:tbl>
    <w:p w14:paraId="6E05CEAC">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bookmarkStart w:id="32" w:name="_Toc389470860"/>
      <w:r>
        <w:rPr>
          <w:rFonts w:hint="eastAsia" w:ascii="仿宋_GB2312" w:hAnsi="仿宋_GB2312" w:eastAsia="仿宋_GB2312" w:cs="仿宋_GB2312"/>
          <w:b/>
          <w:bCs/>
          <w:sz w:val="30"/>
          <w:szCs w:val="30"/>
        </w:rPr>
        <w:t>（二）统筹职业教育区域发展布局。</w:t>
      </w:r>
      <w:bookmarkEnd w:id="32"/>
    </w:p>
    <w:p w14:paraId="0D59CF85">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优化职业教育区域布局。</w:t>
      </w:r>
      <w:r>
        <w:rPr>
          <w:rFonts w:hint="eastAsia" w:ascii="仿宋_GB2312" w:hAnsi="仿宋_GB2312" w:eastAsia="仿宋_GB2312" w:cs="仿宋_GB2312"/>
          <w:sz w:val="30"/>
          <w:szCs w:val="30"/>
        </w:rPr>
        <w:t>各地从本区域实际出发，规划职业教育体系布局结构。东部地区和大中城市要根据经济转型升级的需要，提高中等职业教育的核心竞争力和高等职业教育的现代化水平。中西部地区要多渠道筹措资金增强职业教育基础能力，以中等职业教育为重点普及高中阶段教育，提高服务当地特色优势产业的高等职业教育质量。民族地区要从加快区域经济社会发展和促进各民族交流交融的要求出发，加快职业教育发展步伐，着力优化结构、提高质量，加强双语、“双师型”教师队伍建设，提升职业教育服务当地特色优势产业、民族文化和民族工艺、基本公共服务、社会管理和贫困家庭脱贫致富的能力。</w:t>
      </w:r>
    </w:p>
    <w:p w14:paraId="1125F70F">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优化职业教育城乡布局。充分发挥职业教育就业导向作用，引导农村剩余劳动力向城镇和非农产业有序转移。重点加强农民工、农民工子女和城市转岗就业人员的职业教育和培训。在城镇化建设中科学规划职业教育，院校布局更加贴近所服务的产业和社区。新增高等职业学校主要向中小城市布局。根据各主体功能区的定位，推动区域内职业院校科学定位，使每一所职业院校集中力量办好当地经济社会需要的特色优势专业（集群）。推动县区职业教育中心（中等职业学校）成为区域学历教育、技术推广、扶贫开发、劳动力转移培训和社会生活教育的开放平台，将服务网络延伸到社区、村庄、合作社、农场、企业。 </w:t>
      </w:r>
    </w:p>
    <w:p w14:paraId="3F7D197B">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b/>
          <w:bCs/>
          <w:sz w:val="30"/>
          <w:szCs w:val="30"/>
        </w:rPr>
      </w:pPr>
      <w:bookmarkStart w:id="33" w:name="_Toc389470861"/>
      <w:r>
        <w:rPr>
          <w:rFonts w:hint="eastAsia" w:ascii="仿宋_GB2312" w:hAnsi="仿宋_GB2312" w:eastAsia="仿宋_GB2312" w:cs="仿宋_GB2312"/>
          <w:b/>
          <w:bCs/>
          <w:sz w:val="30"/>
          <w:szCs w:val="30"/>
        </w:rPr>
        <w:t>（三）加快民办职业教育发展步伐。</w:t>
      </w:r>
      <w:bookmarkEnd w:id="33"/>
    </w:p>
    <w:p w14:paraId="0B2E0230">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完善鼓励社会力量办学的政策环境。充分发挥社会力量举办职业教育对加快建立现代职业教育体系、激发职业教育发展活力的重要作用。完善各类职业院校设置标准，建立公开透明规范的民办职业教育准入、审批制度，稳步扩大优质民办教育规模。鼓励企业举办或参与举办职业院校，到2020年，大中型企业参与职业教育办学的比例达到80%以上。各地要把社会力量举办的职业院校纳入教育发展规划，推动民办职业院校分类管理试点，健全政府补贴、购买服务、助学贷款、基金奖励、捐资激励等制度，鼓励社会力量参与职业教育办学。对办学规范、管理严格的民办职业院校，逐步实行在核定办学规模内自主确定招生范围和年度招生计划的制度。</w:t>
      </w:r>
    </w:p>
    <w:p w14:paraId="2830DB58">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创新民办职业教育办学模式。支持发展一批品牌化、连锁化和中高职衔接的民办职业教育集团。积极支持各类办学主体通过独资、合资、合作等多种形式举办民办职业教育，探索发展股份制、混合所有制职业院校。开展社会力量参与公办职业院校改革建立混合所有制职业院校试点，允许社会力量通过购买、承租、委托管理等方式改造办学活力不足的公办职业院校。鼓励民间资本与公办优质教育资源嫁接合作在经济欠发达地区扩大优质职业教育资源。鼓励企业和公办职业院校合作举办混合所有制性质的二级学院。允许社会力量以资本、知识、技术、管理等要素参与办学并享有相应权利，探索在民办职业院校实行职工持股。鼓励专业技术人才、高技能人才在职业院校建设股份合作制的工作室。</w:t>
      </w:r>
    </w:p>
    <w:p w14:paraId="019FD508">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b/>
          <w:bCs/>
          <w:sz w:val="30"/>
          <w:szCs w:val="30"/>
        </w:rPr>
      </w:pPr>
      <w:bookmarkStart w:id="34" w:name="_Toc389470862"/>
      <w:r>
        <w:rPr>
          <w:rFonts w:hint="eastAsia" w:ascii="仿宋_GB2312" w:hAnsi="仿宋_GB2312" w:eastAsia="仿宋_GB2312" w:cs="仿宋_GB2312"/>
          <w:b/>
          <w:bCs/>
          <w:sz w:val="30"/>
          <w:szCs w:val="30"/>
        </w:rPr>
        <w:t>（四）推动职业教育集团化发展。</w:t>
      </w:r>
      <w:bookmarkEnd w:id="34"/>
    </w:p>
    <w:p w14:paraId="2495A1F4">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科学规划职业教育集团发展。职业教育集团化发展是政府主导、行业指导、企业参与的职业教育办学体制的重要实现形式，对促进教育链和产业链有机融合有重要作用。完善现有职业教育集团的治理结构、发展机制，逐步扩大各类职业院校参与率，到2020年基本覆盖所有职业院校，初步建成300个富有活力和引领作用的骨干职业教育集团。开展多元投资主体依法共建职业教育集团的改革试点。</w:t>
      </w:r>
    </w:p>
    <w:p w14:paraId="58F7DEED">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创新职业教育集团的发展机制。按照市场导向、利益共享、合作互赢的原则，吸引各类主体参与职业教育集团建设。通过中央企业和行业龙头企业牵头、骨干职业院校牵头、行业和职业院校联合、地方政府整合职业教育资源、区域内职业院校资源共享等方式多样化发展职业教育集团。鼓励各地在重大产业建设工程中，同步规划覆盖全产业链的职业教育集团。</w:t>
      </w:r>
    </w:p>
    <w:p w14:paraId="205E5868">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提升职业教育集团的发展活力。研究制定促进职业教育集团发展的支持政策。支持符合条件的职业教育集团统筹中高职衔接、专业课程建设、实训基地建设、教师队伍建设。鼓励通过领导干部交叉任职、共建技术创新平台和生产性实训基地、建立混合所有制职业院校等方式强化集团内部的利益纽带。鼓励行业特色明显的普通高等学校参与职业教育集团。鼓励职业教育集团与跨国企业、境外教育机构等开展合作。</w:t>
      </w:r>
    </w:p>
    <w:p w14:paraId="51D0CD64">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b/>
          <w:bCs/>
          <w:sz w:val="30"/>
          <w:szCs w:val="30"/>
        </w:rPr>
      </w:pPr>
      <w:bookmarkStart w:id="35" w:name="_Toc389470863"/>
      <w:r>
        <w:rPr>
          <w:rFonts w:hint="eastAsia" w:ascii="仿宋_GB2312" w:hAnsi="仿宋_GB2312" w:eastAsia="仿宋_GB2312" w:cs="仿宋_GB2312"/>
          <w:b/>
          <w:bCs/>
          <w:sz w:val="30"/>
          <w:szCs w:val="30"/>
        </w:rPr>
        <w:t>（五）加强中等职业教育基础地位。</w:t>
      </w:r>
      <w:bookmarkEnd w:id="35"/>
    </w:p>
    <w:p w14:paraId="42E05897">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巩固提高中等职业教育。中等职业教育是公共服务体系的重要组成部分。将普及高中阶段教育重点放在中等职业教育。坚持以就业为导向办好中等职业教育，按照系统培养、全面培养、终身教育的理念，加强思想道德和职业道德教育，强化基础文化和体育、艺术课程，加强新技术教育和技能训练，为学生全面成才、持续发展奠定扎实基础。继续探索举办职业教育和普通教育融通的综合高中。</w:t>
      </w:r>
    </w:p>
    <w:p w14:paraId="3E7AF46C">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调整优化中等职业教育布局。各地要根据本地产业、人口、教育实际和城镇化进程提出中等职业教育规划布局指导意见，指导各地从实际出发逐步优化中等职业教育学校布局和专业。鼓励优质学校通过兼并、托管、合作办学等形式，整合办学资源；对定位不明确、办学质量低、服务能力弱的学校实行调整改造或兼并重组。推动各项要素资源优化整合，逐步提高中等职业学校办学水平。</w:t>
      </w:r>
    </w:p>
    <w:p w14:paraId="1A9B29F0">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b/>
          <w:bCs/>
          <w:sz w:val="30"/>
          <w:szCs w:val="30"/>
        </w:rPr>
      </w:pPr>
      <w:bookmarkStart w:id="36" w:name="_Toc389470864"/>
      <w:r>
        <w:rPr>
          <w:rFonts w:hint="eastAsia" w:ascii="仿宋_GB2312" w:hAnsi="仿宋_GB2312" w:eastAsia="仿宋_GB2312" w:cs="仿宋_GB2312"/>
          <w:b/>
          <w:bCs/>
          <w:sz w:val="30"/>
          <w:szCs w:val="30"/>
        </w:rPr>
        <w:t>（六）优化高等职业教育结构。</w:t>
      </w:r>
      <w:bookmarkEnd w:id="36"/>
    </w:p>
    <w:p w14:paraId="15B58BF9">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推进高等学校分类管理。建立高等学校分类体系，探索对研究类型高校、应用技术类型高校、高等职业学校等不同类型的高等学校实行分类设置、评价、指导、评估、拨款制度。鼓励举办应用技术类型高校，将其建设成为直接服务区域经济社会发展，以举办本科职业教育为重点，融职业教育、高等教育和继续教育于一体的新型大学。原则上现有专科高等职业学校不升格为或并入普通高等学校。各地科学规划区域内高等教育布局结构，根据国家的有关规定设置专科阶段高等学校。 </w:t>
      </w:r>
    </w:p>
    <w:p w14:paraId="048611C0">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引导一批本科高等学校转型发展。支持定位于服务行业和地方经济社会发展的本科高等学校实行综合改革，向应用技术类型高校转型发展。鼓励独立学院转设为独立设置的学校时定位为应用技术类型高校。鼓励本科高等学校与示范性高等职业学校通过合作办学、联合培养等方式培养高层次应用技术人才。应用技术类型高校同时招收在职优秀技术技能人才、职业院校优秀毕业生和普通高中、综合高中毕业生。各地采取计划、财政、评估等综合性调控政策引导地方本科高等学校转型发展。</w:t>
      </w:r>
    </w:p>
    <w:p w14:paraId="543F132A">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加快高等职业学校改革步伐。深化高等职业学校治理结构、专业体系、培养模式、招生入学制度等关键领域改革，提升办学活力和人才培养质量。根据区域发展需要设立的高等职业学校，要强化服务社区导向，为社区提供职业教育、继续教育和普通高等学校基础课程。行业特色明显的高等职业学校，要增强服务产业导向，发挥提升产业竞争力的作用。</w:t>
      </w:r>
    </w:p>
    <w:p w14:paraId="5436BE3B">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探索举办特色学院。鼓励大型企业、科研机构和行业协会举办或参与举办以服务产业链为目标，主要依托企业开展教学实训，人才培养和职工培训融为一体，产教、科教融合发展，专业特色明显的特色学院，新增一批优质高等职业教育资源。</w:t>
      </w:r>
    </w:p>
    <w:p w14:paraId="52DFECC6">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b/>
          <w:bCs/>
          <w:sz w:val="30"/>
          <w:szCs w:val="30"/>
        </w:rPr>
      </w:pPr>
      <w:bookmarkStart w:id="37" w:name="_Toc389470865"/>
      <w:r>
        <w:rPr>
          <w:rFonts w:hint="eastAsia" w:ascii="仿宋_GB2312" w:hAnsi="仿宋_GB2312" w:eastAsia="仿宋_GB2312" w:cs="仿宋_GB2312"/>
          <w:b/>
          <w:bCs/>
          <w:sz w:val="30"/>
          <w:szCs w:val="30"/>
        </w:rPr>
        <w:t>（七）完善职业人才衔接培养体系。</w:t>
      </w:r>
      <w:bookmarkEnd w:id="37"/>
    </w:p>
    <w:p w14:paraId="65AB5F68">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加强中高职衔接。推进中等和高等职业教育培养目标、专业设置、课程体系、教学过程等方面的衔接。探索对口合作、集团化发展等多形式的衔接方式。逐步扩大职业院校自主招生权和学习者自主选择权，形成多种方式、多次选择的衔接机制和衔接路径。充分发挥开放大学在中高职衔接中的重要作用。</w:t>
      </w:r>
    </w:p>
    <w:p w14:paraId="6DB050CE">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完善五年制高职。以初中为起点的五年制高等职业学校，主要面向学前教育、护理、健康服务、社区服务等特殊专业领域，培养兼具较高文化素质和专业技术技能的专门人才。国家发布五年制高职专业目录。支持办好重点培养产业发展和社会建设急需人才的五年制高等职业学校。</w:t>
      </w:r>
    </w:p>
    <w:p w14:paraId="4F67D4BA">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强化学历、学位和职业资格衔接。研究探索符合职业教育特点的学位制度。完善学历学位证书和资格证书“双证书”制度，逐步实现职业教育学历学位证书体系、专业学位研究生教育与职业资格证书体系的有机衔接，探索建立各级职业教育与普通教育相衔接的制度。完善职业院校合格毕业生取得相应职业资格证书的办法。</w:t>
      </w:r>
    </w:p>
    <w:p w14:paraId="11A99C52">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b/>
          <w:bCs/>
          <w:sz w:val="30"/>
          <w:szCs w:val="30"/>
        </w:rPr>
      </w:pPr>
      <w:bookmarkStart w:id="38" w:name="_Toc389470866"/>
      <w:r>
        <w:rPr>
          <w:rFonts w:hint="eastAsia" w:ascii="仿宋_GB2312" w:hAnsi="仿宋_GB2312" w:eastAsia="仿宋_GB2312" w:cs="仿宋_GB2312"/>
          <w:b/>
          <w:bCs/>
          <w:sz w:val="30"/>
          <w:szCs w:val="30"/>
        </w:rPr>
        <w:t>（八）建立职业教育质量保障体系。</w:t>
      </w:r>
      <w:bookmarkEnd w:id="38"/>
    </w:p>
    <w:p w14:paraId="03C624C4">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完善校企合作、工学结合的人才培养体系。将工学结合贯穿职业教育教学全过程，学生从入学开始就接受相应的动手和实践课程，并根据培养目标同步深化文化、技术和技能学习与训练，逐步实现就业需求和人才培养的有机衔接。加强科学素养、技术思维和实践能力教育，加强实验、实训、实习和研究性学习环节。加强工程实践中心、实训基地和企业实习基地的建设，保障学习者有质量的实习实训需求。强化实习实训环节的评价考核。在有条件的企业试行职业院校和企业联合招生、联合培养的学徒制，企业根据用工需求与职业院校实行联合招生（招工）、联合培养。完善支持政策，通过政府、企业、社会、家庭等多渠道筹集学生（学徒）培养培训经费。</w:t>
      </w:r>
    </w:p>
    <w:p w14:paraId="0D55A29B">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加强职业院校德育工作。积极培育和践行社会主义核心价值观。弘扬民族优秀文化和现代工业文明，传承民族工艺文化中以德为先、追求技艺、重视传承的优良传统。推进产业文化进教育、企业文化进校园、职业文化进课堂，将生态环保、绿色节能、清洁生产、循环经济等理念融入到教育过程，开展丰富多彩的校园文化活动，建设融合产业文化的校园文化。切实加强职业道德教育，注重用优秀毕业生先进事迹教育引导在校学生，培养具有现代职业理念和良好职业操守的高素质人才。鼓励企业与职业院校开展多种形式的文化实践活动。</w:t>
      </w:r>
    </w:p>
    <w:p w14:paraId="329ACB4B">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健全职业教育质量评价制度。以学习者的职业道德、技术技能水平和就业质量为核心，建立职业教育质量评价体系。完善学校、行业、企业、研究机构和其他社会组织共同参与的职业教育质量评价机制。各地要加强对职业教育的督导和评估，开展以人才培养质量和服务贡献为主要内容的职业院校绩效考核。职业院校要建立内部质量评价制度，强化质量保障体系建设。注重发挥行业作用，支持行业协会开展职业院校人才培养质量评估，提高人才培养质量和结构与行业需求的匹配度。鼓励企业、用人单位开展毕业生就业质量、满意度等评价。积极支持各类专业组织等第三方机构开展质量评估。</w:t>
      </w:r>
    </w:p>
    <w:p w14:paraId="6CBCB451">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bookmarkStart w:id="39" w:name="_Toc389470867"/>
      <w:r>
        <w:rPr>
          <w:rFonts w:hint="eastAsia" w:ascii="仿宋_GB2312" w:hAnsi="仿宋_GB2312" w:eastAsia="仿宋_GB2312" w:cs="仿宋_GB2312"/>
          <w:b/>
          <w:bCs/>
          <w:sz w:val="30"/>
          <w:szCs w:val="30"/>
        </w:rPr>
        <w:t>（九）改革职业教育专业课程体系。</w:t>
      </w:r>
      <w:bookmarkEnd w:id="39"/>
    </w:p>
    <w:p w14:paraId="26E57AF4">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建立产业结构调整驱动专业改革机制。办好特色优势专业，压缩供过于求的专业，调整改造办学层次、办学质量与需求不对接的专业，建立面向市场、优胜劣汰的专业设置机制。职业院校可以在政府和行业的指导下对接职业和岗位需求自主设置专业。支持职业院校设置反映未来产业变革和技术进步趋势的新专业。到2015年，基本完成新一轮专业设置改革，学校特色优势专业集中度显著提高。扩大学生选专业、转专业的自主权。建立专业设置信息发布平台和动态调整预警机制。探索建立区域中高职专业设置管理的宏观协调机制。</w:t>
      </w:r>
    </w:p>
    <w:p w14:paraId="2F04C122">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建立产业技术进步驱动课程改革机制。适应经济发展、产业升级和技术进步需要，建立国家职业标准与专业教学标准联动开发机制。按照科技发展水平和职业资格标准设计课程结构和内容。通过用人单位直接参与课程设计、评价和国际先进课程的引进，提高职业教育对技术进步的反应速度。到2020年，基本形成对接紧密、特色鲜明、动态调整的职业教育课程体系。</w:t>
      </w:r>
    </w:p>
    <w:p w14:paraId="5D211628">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Style w:val="15"/>
          <w:rFonts w:hint="eastAsia" w:ascii="仿宋_GB2312" w:hAnsi="仿宋_GB2312" w:eastAsia="仿宋_GB2312" w:cs="仿宋_GB2312"/>
          <w:sz w:val="30"/>
          <w:szCs w:val="30"/>
        </w:rPr>
      </w:pPr>
      <w:r>
        <w:rPr>
          <w:rFonts w:hint="eastAsia" w:ascii="仿宋_GB2312" w:hAnsi="仿宋_GB2312" w:eastAsia="仿宋_GB2312" w:cs="仿宋_GB2312"/>
          <w:sz w:val="30"/>
          <w:szCs w:val="30"/>
        </w:rPr>
        <w:t>建立真实应用驱动教学改革机制。职业院校按照真实环境真学真做掌握真本领的要求开展教学活动。推动教学内容改革，按照企业真实的技术和装备水平设计理论、技术和实训课程；推动教学流程改革，依据生产服务的真实业务流程设计教学空间和课程模块；推动教学方法改革，通过真实案例、真实项目激发学习者的学习兴趣、探究兴趣和职业兴趣。</w:t>
      </w:r>
    </w:p>
    <w:p w14:paraId="39214ACC">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b/>
          <w:bCs/>
          <w:sz w:val="30"/>
          <w:szCs w:val="30"/>
        </w:rPr>
      </w:pPr>
      <w:bookmarkStart w:id="40" w:name="_Toc389470868"/>
      <w:r>
        <w:rPr>
          <w:rFonts w:hint="eastAsia" w:ascii="仿宋_GB2312" w:hAnsi="仿宋_GB2312" w:eastAsia="仿宋_GB2312" w:cs="仿宋_GB2312"/>
          <w:b/>
          <w:bCs/>
          <w:sz w:val="30"/>
          <w:szCs w:val="30"/>
        </w:rPr>
        <w:t>（十）完善“双师型”教师培养培训体系。</w:t>
      </w:r>
      <w:bookmarkEnd w:id="40"/>
    </w:p>
    <w:p w14:paraId="78894DBF">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改革教师资格和编制制度。根据职业教育的特点完善教师资格标准、专业技术职务（职称）评聘办法。探索在职业学校设置正高级教师职务（职称）。各地要比照普通高中和普通高等学校，根据职业教育特点核定公办职业院校教职工编制。新增教师编制主要用于引进有实践经验的专业教师，到2020年，有实践经验的专兼职教师占专业教师总数的比例达到60%以上。</w:t>
      </w:r>
    </w:p>
    <w:p w14:paraId="16C26F69">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改革职业院校用人制度。落实职业院校用人自主权，鼓励职业院校按照国家相关规定聘请企业管理人员、工程技术人员和能工巧匠担任专兼职教师。建立符合职业院校特点的教师绩效评价标准，绩效工资内部分配向“双师型”教师适当倾斜。探索建立行业企业举办的职业院校和民办职业院校教师年金制度。</w:t>
      </w:r>
    </w:p>
    <w:p w14:paraId="767CEA7C">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完善教师培养制度。加强职业技术师范院校建设。依托高水平学校和大中型企业建立“双师型”职业教育师资培养基地。探索职业教育师资定向培养制度和“学历教育+企业实训”的培养办法。加强职业教育教师队伍师德建设，增强教师从事职业教育的荣誉感和责任感。</w:t>
      </w:r>
    </w:p>
    <w:p w14:paraId="4F5019EF">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完善教师培训制度。建立职业院校教师轮训制度，促进职业院校教师专业化发展。建立一批职业教育教师实践企业基地，实行新任教师先实践、后上岗和教师定期实践制度，专业教师每两年专业实践的时间累计不少于两个月。鼓励职业院校教师加入行业协会组织。</w:t>
      </w:r>
    </w:p>
    <w:p w14:paraId="17B15513">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b/>
          <w:bCs/>
          <w:sz w:val="30"/>
          <w:szCs w:val="30"/>
        </w:rPr>
      </w:pPr>
      <w:bookmarkStart w:id="41" w:name="_Toc389470869"/>
      <w:bookmarkStart w:id="42" w:name="_Toc381884946"/>
      <w:r>
        <w:rPr>
          <w:rFonts w:hint="eastAsia" w:ascii="仿宋_GB2312" w:hAnsi="仿宋_GB2312" w:eastAsia="仿宋_GB2312" w:cs="仿宋_GB2312"/>
          <w:b/>
          <w:bCs/>
          <w:sz w:val="30"/>
          <w:szCs w:val="30"/>
        </w:rPr>
        <w:t>（十一）加速数字化、信息化进程。</w:t>
      </w:r>
      <w:bookmarkEnd w:id="41"/>
      <w:bookmarkEnd w:id="42"/>
    </w:p>
    <w:p w14:paraId="5BC017BB">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推进信息化平台体系建设。将信息化作为现代职业教育体系建设的基础，实现“宽带网络校校通”、“优质资源班班通”、“网络学习空间人人通”。加强职业院校信息化基础设施建设，到2015年宽带和校园网覆盖所有职业院校。加强职业教育信息化管理平台建设，到2015年基本建成职业教育信息化管理系统，并与全国公共就业信息服务平台联通，实现资源共享。加强职业教育数字化资源平台建设，到2020年，数字化资源覆盖所有专业。建立全国职业教育数字资源共建共享联盟，制定职业教育数字资源开发规范和审查认证标准，推动建设面向全社会的优质数字化教学资源库。提高开放大学信息化建设水平，到2020年信息技术应用达到世界先进水平。</w:t>
      </w:r>
    </w:p>
    <w:p w14:paraId="2A6BD823">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加快数字化专业课程体系建设。加紧用信息技术改造职业教育专业课程，使每一个学生都具有与职业要求相适应的信息技术素养。与各行业、产业信息化进程紧密结合，将信息技术课程纳入所有专业。在专业课程中广泛使用计算机仿真教学、数字化实训、远程实时教育等技术。加快发展数字农业、智能制造、智慧服务等领域的相关专业。加强对教师信息技术应用能力的培训，将其作为教师评聘考核的重要标准。办好全国职业院校信息化教学大赛。</w:t>
      </w:r>
    </w:p>
    <w:p w14:paraId="7E614125">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bookmarkStart w:id="43" w:name="_Toc389470870"/>
      <w:r>
        <w:rPr>
          <w:rFonts w:hint="eastAsia" w:ascii="仿宋_GB2312" w:hAnsi="仿宋_GB2312" w:eastAsia="仿宋_GB2312" w:cs="仿宋_GB2312"/>
          <w:b/>
          <w:bCs/>
          <w:sz w:val="30"/>
          <w:szCs w:val="30"/>
        </w:rPr>
        <w:t>（十二）建设开放型职业教育体系。</w:t>
      </w:r>
      <w:bookmarkEnd w:id="43"/>
    </w:p>
    <w:p w14:paraId="3E3EBACE">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扩大引进优质职业教育资源。有计划地学习和引进国际先进、成熟适用的人才培养标准、专业课程、教材体系和数字化教育资源。大力引进国外智力，支持职业院校申办聘请外国专家（文教类）许可。实施跟踪和赶超战略，鼓励职业院校与国外高水平院校建立一对一合作关系。鼓励职业院校举办高水平中外合作办学机构和项目。鼓励职业院校以团队方式派遣访问学者系统学习国外先进办学模式。加强同联合国教科文组织、世界银行等国际组织和职业教育先进国家开展职业教育领域的合作和交流。</w:t>
      </w:r>
    </w:p>
    <w:p w14:paraId="32020D02">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鼓励骨干职业院校走出去。服务国家对外开放战略，培育一批具有国际竞争力的职业院校。加快培养适应我国企业走出去要求的技术技能人才。积极扩大职业院校招收海外留学生的规模，探索和规范职业院校到国（境）外办学。支持承揽海外大型工程的企业与职业院校联合建立国际化人才培养基地。鼓励沿边地区的职业院校加强与周边国家的合作，提高我国教育对周边国家的辐射力、影响力。</w:t>
      </w:r>
    </w:p>
    <w:p w14:paraId="42217948">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黑体" w:hAnsi="黑体" w:eastAsia="黑体" w:cs="黑体"/>
          <w:sz w:val="30"/>
          <w:szCs w:val="30"/>
        </w:rPr>
      </w:pPr>
      <w:bookmarkStart w:id="44" w:name="_Toc326133247"/>
      <w:bookmarkStart w:id="45" w:name="_Toc389470871"/>
      <w:bookmarkStart w:id="46" w:name="_Toc317939059"/>
      <w:r>
        <w:rPr>
          <w:rFonts w:hint="eastAsia" w:ascii="黑体" w:hAnsi="黑体" w:eastAsia="黑体" w:cs="黑体"/>
          <w:sz w:val="30"/>
          <w:szCs w:val="30"/>
        </w:rPr>
        <w:t>五、体系建设的制度保障和机制创新</w:t>
      </w:r>
      <w:bookmarkEnd w:id="44"/>
      <w:bookmarkEnd w:id="45"/>
      <w:bookmarkEnd w:id="46"/>
    </w:p>
    <w:p w14:paraId="43808BC0">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以产教融合为主线，建立各级政府、行业、企业、学校和社会各方面共同参与的制度创新平台，为现代职业教育体系建设提供制度保障。</w:t>
      </w:r>
    </w:p>
    <w:p w14:paraId="40836AD0">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b/>
          <w:bCs/>
          <w:sz w:val="30"/>
          <w:szCs w:val="30"/>
        </w:rPr>
      </w:pPr>
      <w:bookmarkStart w:id="47" w:name="_Toc389470872"/>
      <w:r>
        <w:rPr>
          <w:rFonts w:hint="eastAsia" w:ascii="仿宋_GB2312" w:hAnsi="仿宋_GB2312" w:eastAsia="仿宋_GB2312" w:cs="仿宋_GB2312"/>
          <w:b/>
          <w:bCs/>
          <w:sz w:val="30"/>
          <w:szCs w:val="30"/>
        </w:rPr>
        <w:t>（一）完善职业教育法律体系和标准体系。</w:t>
      </w:r>
      <w:bookmarkEnd w:id="47"/>
    </w:p>
    <w:p w14:paraId="4FD77070">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推动加快修订《职业教育法》。依法确立现代职业教育体系基本架构，明确各级政府的职责，规范职业院校、行业、企业等主体的权利、义务，将职业教育体系建设的成果法制化。完善促进校企合作和职业教育集团化发展的法律法规。在修订教育法、民办教育促进法、高等教育法、教师法、学位条例以及劳动、社会保障、外国专家等方面的法律法规时，按照现代职业教育体系建设的要求修订完善相关条款。</w:t>
      </w:r>
    </w:p>
    <w:p w14:paraId="0779AD20">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建立健全职业教育标准体系。加快制定符合职业教育特点、适应经济发展和产业升级要求的各类职业院校办学标准。完善各项标准的实施和检验制度。各地要制定规划和实施方案，到2020年，使各类职业院校基本达到国家规定的办学标准。</w:t>
      </w:r>
    </w:p>
    <w:p w14:paraId="10DAE9FE">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bookmarkStart w:id="48" w:name="_Toc389470873"/>
      <w:r>
        <w:rPr>
          <w:rFonts w:hint="eastAsia" w:ascii="仿宋_GB2312" w:hAnsi="仿宋_GB2312" w:eastAsia="仿宋_GB2312" w:cs="仿宋_GB2312"/>
          <w:b/>
          <w:bCs/>
          <w:sz w:val="30"/>
          <w:szCs w:val="30"/>
        </w:rPr>
        <w:t>（二）推进职业教育管办评分离改革。</w:t>
      </w:r>
      <w:bookmarkEnd w:id="48"/>
    </w:p>
    <w:p w14:paraId="424CD888">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转变政府管理方式。完善分级管理、地方为主、政府统筹、社会参与的管理体制，加快政府职能转变，减少部门职责交叉和分散，减少对学校教育教学具体事务的干预。各级政府加强发展战略、规划、政策、标准等制定和实施，统筹区域职业教育发展，落实职业教育投入责任，创设有利于产教融合、校企合作和社会力量参与办学的良好制度环境。赋予省级政府更大权限，扩大省级政府在现代职业教育体系建设中的统筹权。</w:t>
      </w:r>
    </w:p>
    <w:p w14:paraId="67FD920F">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加强行业指导、企业参与。构建职业教育行业指导体系，发挥行业在提供政策咨询服务、发布行业人才需求、推进校企合作、参与指导教育教学、开展质量评价等方面的重要作用。加强行业指导能力建设，各地和有关部门将适宜行业组织承担的职责通过授权委托、购买服务等方式交给行业组织，给予政策支持并强化服务监管。加强职业教育行业指导委员会和教学指导委员会建设。通过法制建设、政策引导、考核评价等多种途径进一步落实企业参与校企合作、支持学生实习实训、开展职工继续教育的责任。用人单位要为职工的职业继续教育和终身学习提供条件。将国有大中型企业支持职业教育列入企业履行社会责任考核内容。</w:t>
      </w:r>
    </w:p>
    <w:p w14:paraId="5E1F7AC9">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扩大职业院校办学自主权。实行“负面清单”制度，深化行政审批制度改革，推动政校分开，扩大职业院校在专业设置和调整、人事管理、教师评聘、收入分配等方面的自主权。完善职业院校治理结构、内外部约束和激励机制，确保职业院校用好办学自主权。坚持和完善中等职业学校校长负责制、公办高等职业学校党委领导下的校长负责制。完善体现职业院校办学和管理特点的绩效考核内部分配机制。</w:t>
      </w:r>
    </w:p>
    <w:p w14:paraId="7B691D59">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健全职业教育督导评估制度。完善中等职业教育督导评估办法，制定高等职业教育督导评估办法。建立职业教育定期督导评估和专项督导评估制度。完善督导报告制度、公报制度、约谈制度、限期整改制度、奖惩制度等制度，将督导评估结果作为地方各级政府和有关部门、职业院校绩效考核的重要内容。</w:t>
      </w:r>
    </w:p>
    <w:p w14:paraId="51146C42">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bookmarkStart w:id="49" w:name="_Toc389470874"/>
      <w:r>
        <w:rPr>
          <w:rFonts w:hint="eastAsia" w:ascii="仿宋_GB2312" w:hAnsi="仿宋_GB2312" w:eastAsia="仿宋_GB2312" w:cs="仿宋_GB2312"/>
          <w:b/>
          <w:bCs/>
          <w:sz w:val="30"/>
          <w:szCs w:val="30"/>
        </w:rPr>
        <w:t>（三）深化职业教育招生考试制度改革。</w:t>
      </w:r>
      <w:bookmarkEnd w:id="49"/>
    </w:p>
    <w:p w14:paraId="7DF3CFBA">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建立符合职业教育特点的招生考试制度。根据高等教育招生考试制度改革总体方案，制定高等学校考试招生制度改革的实施意见和改革方案，加快推进高等职业教育分类招考，建立符合技术技能人才成长规律的选拔机制。重点探索“知识+技能”、单独招生、自主招生和技能拔尖人才免试等考试招生办法，为学生接受不同层次高等职业教育提供多样化入学形式。加快专业学位研究生入学考试制度改革，扩大招收有一定工作经历和实践经验的一线劳动者的比例。完善职业院校教学比赛制度，办好全国职业院校技能大赛，提升国际影响力，将学生比赛成绩作为升入高一级学校的重要依据。</w:t>
      </w:r>
    </w:p>
    <w:p w14:paraId="51188E62">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扩大职业院校毕业生升学机会。扩大学校招生自主权，适度提高专科高等职业学校招收中等职业学校毕业生的比例、本科高等学校招收职业院校毕业生的比例，逐步扩大高等职业学校招收有实践经历人员的比例。对不同类型的学生实行不同的选拔方式，为不同来源学生、不同学习方式制定不同培养方案。积极探索非户籍生源在流入地参加</w:t>
      </w: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HYPERLINK "http://baike.baidu.com/view/8093.htm" \t "_blank"</w:instrText>
      </w:r>
      <w:r>
        <w:rPr>
          <w:rFonts w:hint="eastAsia" w:ascii="仿宋_GB2312" w:hAnsi="仿宋_GB2312" w:eastAsia="仿宋_GB2312" w:cs="仿宋_GB2312"/>
          <w:sz w:val="30"/>
          <w:szCs w:val="30"/>
        </w:rPr>
        <w:fldChar w:fldCharType="separate"/>
      </w:r>
      <w:r>
        <w:rPr>
          <w:rFonts w:hint="eastAsia" w:ascii="仿宋_GB2312" w:hAnsi="仿宋_GB2312" w:eastAsia="仿宋_GB2312" w:cs="仿宋_GB2312"/>
          <w:sz w:val="30"/>
          <w:szCs w:val="30"/>
        </w:rPr>
        <w:t>考试</w:t>
      </w:r>
      <w:r>
        <w:rPr>
          <w:rFonts w:hint="eastAsia" w:ascii="仿宋_GB2312" w:hAnsi="仿宋_GB2312" w:eastAsia="仿宋_GB2312" w:cs="仿宋_GB2312"/>
          <w:sz w:val="30"/>
          <w:szCs w:val="30"/>
        </w:rPr>
        <w:fldChar w:fldCharType="end"/>
      </w:r>
      <w:r>
        <w:rPr>
          <w:rFonts w:hint="eastAsia" w:ascii="仿宋_GB2312" w:hAnsi="仿宋_GB2312" w:eastAsia="仿宋_GB2312" w:cs="仿宋_GB2312"/>
          <w:sz w:val="30"/>
          <w:szCs w:val="30"/>
        </w:rPr>
        <w:t>升入高等职业学校的办法。鼓励农民工采取灵活多样的学习方式接受职业教育与培训。</w:t>
      </w:r>
    </w:p>
    <w:p w14:paraId="1F20FB87">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bookmarkStart w:id="50" w:name="_Toc389470875"/>
      <w:r>
        <w:rPr>
          <w:rFonts w:hint="eastAsia" w:ascii="仿宋_GB2312" w:hAnsi="仿宋_GB2312" w:eastAsia="仿宋_GB2312" w:cs="仿宋_GB2312"/>
          <w:b/>
          <w:bCs/>
          <w:sz w:val="30"/>
          <w:szCs w:val="30"/>
        </w:rPr>
        <w:t>（四）完善校企合作的现代职业院校治理结构</w:t>
      </w:r>
      <w:r>
        <w:rPr>
          <w:rFonts w:hint="eastAsia" w:ascii="仿宋_GB2312" w:hAnsi="仿宋_GB2312" w:eastAsia="仿宋_GB2312" w:cs="仿宋_GB2312"/>
          <w:sz w:val="30"/>
          <w:szCs w:val="30"/>
        </w:rPr>
        <w:t>。</w:t>
      </w:r>
      <w:bookmarkEnd w:id="50"/>
    </w:p>
    <w:p w14:paraId="0F7BCCE3">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完善校企合作各项制度。制定促进校企合作办学法规。建立健全校企合作规划、合作治理、合作培养机制，使人才培养融入企业生产服务流程和价值创造过程。职业院校和合作企业要不断完善知识共享、课程更新、订单培养、顶岗实习、生产实训、交流任职、员工培训、协同创新等制度。推动学校把实训实习基地建在企业，企业把人才培养和培训基地建在学校。探索引校进厂、引厂进校、前店后校等校企一体化的合作形式。</w:t>
      </w:r>
    </w:p>
    <w:p w14:paraId="49954A69">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推动行业、企业和社区参与职业院校治理。职业院校设立理（董）事会，50%以上的成员要来自企业、行业和社区。设立专业指导委员会，50%以上的成员要来自用人单位。完善体现职业教育特色的职业院校章程和制度，明确理（董）事会、校（院）长、专业指导委员会和教职工代表大会的职权，提高职业院校治理能力。制订符合职业教育特点的校长（院长）任职资格标准，积极推进校长聘任制改革和公开选拔试点，鼓励企业家、创业家担任校长（院长），培养和造就一批职业教育家。</w:t>
      </w:r>
    </w:p>
    <w:p w14:paraId="0FA27171">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b/>
          <w:bCs/>
          <w:sz w:val="30"/>
          <w:szCs w:val="30"/>
        </w:rPr>
      </w:pPr>
      <w:bookmarkStart w:id="51" w:name="_Toc389470876"/>
      <w:r>
        <w:rPr>
          <w:rFonts w:hint="eastAsia" w:ascii="仿宋_GB2312" w:hAnsi="仿宋_GB2312" w:eastAsia="仿宋_GB2312" w:cs="仿宋_GB2312"/>
          <w:b/>
          <w:bCs/>
          <w:sz w:val="30"/>
          <w:szCs w:val="30"/>
        </w:rPr>
        <w:t>（五）创新校企协同的技术技能积累机制。</w:t>
      </w:r>
      <w:bookmarkEnd w:id="51"/>
    </w:p>
    <w:p w14:paraId="6C09EC6A">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建立重点产业技术积累创新联合体。制定多方参与的支持政策，推动政府、学校、行业、企业的联动，促进技术技能的积累和创新。在关系国家竞争力的重要产业部门，规划建立一批企业和职业院校紧密合作的技术技能积累创新平台，促进新技术、新材料、新工艺、新装备的应用，加快先进技术转化和产业转型升级步伐。推动企业将职业院校纳入技术创新体系，强化协同创新，促进劳动者素质与技术创新、技术引进、技术改造同步提高，实现新技术产业化与新技术应用人才储备同步。推动职业院校和职业教育集团通过多层次人才培养体系和技术推广体系，主动参与企业技术创新，积极推动技术成果扩散，为科技型小微企业创业提供人才、科技服务。</w:t>
      </w:r>
    </w:p>
    <w:p w14:paraId="0A57C8C7">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支持职业教育传承民族工艺和文化。将民族特色产品、工艺、文化纳入现代职业教育体系，将民族文化融入学校教育全过程，着力推动民间传统手工艺传承模式改革，逐步形成民族工艺职业院校传承创新的现代机制。积极发展集民族工艺传承创新、文化遗产保护、高技能人才培养、产业孵化于一体的职业教育。鼓励民间艺人、技艺大师和非物质文化遗产传承人参与职业教育办学。</w:t>
      </w:r>
    </w:p>
    <w:p w14:paraId="4C44C27F">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bookmarkStart w:id="52" w:name="_Toc389470877"/>
      <w:r>
        <w:rPr>
          <w:rFonts w:hint="eastAsia" w:ascii="仿宋_GB2312" w:hAnsi="仿宋_GB2312" w:eastAsia="仿宋_GB2312" w:cs="仿宋_GB2312"/>
          <w:b/>
          <w:bCs/>
          <w:sz w:val="30"/>
          <w:szCs w:val="30"/>
        </w:rPr>
        <w:t>（六）构建适应现代职业教育体系的投入</w:t>
      </w:r>
      <w:r>
        <w:rPr>
          <w:rFonts w:hint="eastAsia" w:ascii="仿宋_GB2312" w:hAnsi="仿宋_GB2312" w:eastAsia="仿宋_GB2312" w:cs="仿宋_GB2312"/>
          <w:b/>
          <w:bCs/>
          <w:sz w:val="30"/>
          <w:szCs w:val="30"/>
          <w:lang w:eastAsia="zh-CN"/>
        </w:rPr>
        <w:t>机制</w:t>
      </w:r>
      <w:r>
        <w:rPr>
          <w:rFonts w:hint="eastAsia" w:ascii="仿宋_GB2312" w:hAnsi="仿宋_GB2312" w:eastAsia="仿宋_GB2312" w:cs="仿宋_GB2312"/>
          <w:b/>
          <w:bCs/>
          <w:sz w:val="30"/>
          <w:szCs w:val="30"/>
        </w:rPr>
        <w:t>。</w:t>
      </w:r>
      <w:bookmarkEnd w:id="52"/>
    </w:p>
    <w:p w14:paraId="26AFBAA0">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落实财政性职业教育经费投入。通过调整优化财政支出结构、加强规划、制定标准等措施，加大各级政府对职业教育的投入。地方政府加强职业教育布局结构、基本建设、专业建设和教师队伍建设规划，加大对体系建设重点领域和薄弱环节的投入。2015年底前，各地依法出台职业院校生均经费标准或公用经费标准。县级以上政府要建立职业教育经费绩效评价制度、审计监督公告制度、预决算公开制度。加强职业院校办学条件、人才培养质量、培训经费使用等方面的信息公开。加大中央财政对经济欠发达地区职业教育的转移支付力度。</w:t>
      </w:r>
    </w:p>
    <w:p w14:paraId="0F6FC6B8">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充分利用社会资本发展现代职业教育。完善民办职业教育收费制度，在完善民办职业教育信息公开和质量评价标准的基础上，逐步形成主要由市场决定的收费价格形成机制。加强企业落实足额提取职工教育培训经费政策的监督检查。加大职业教育捐赠的优惠政策、典型案例、社会效益的舆论宣传。鼓励社会力量通过资金、土地、装备、技术、人才等多种要素投资职业教育。完善财政贴息贷款等政策，健全民办职业院校融资机制。鼓励发展实习实训设备融资租赁业务。支持营利性职业教育机构通过金融手段和资本市场融资。支持境内外企业积极参与职业教育中外合作办学。</w:t>
      </w:r>
    </w:p>
    <w:p w14:paraId="68C6BE92">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加强职业教育基础能力建设。建立政府、行业、企业、个人、社会共同参与的基础能力建设多元投资机制。实施现代职业教育质量提升计划，加大“十二五”期间规划项目的推进和实施力度，启动编制“十三五”职业院校基础能力建设规划并纳入各地经济社会发展规划，重点加大对现代农业、装备制造业、现代服务业、战略性新兴产业、民族工艺和基本公共服务等领域的急需专业（集群）的支持力度。积极推进以部分地方本科高等学校为重点的转型发展试点，支持一批本科高等学校转型发展为应用技术类型高等学校，形成一批支持产业转型升级、加速先进技术转化应用、对区域发展有重大支撑作用的高水平应用技术人才培养专业集群。地方政府、相关行业部门和大型企业要切实加强所办职业院校基础能力建设，支持一批职业院校争创国际先进水平。</w:t>
      </w:r>
    </w:p>
    <w:p w14:paraId="25CC13A7">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bookmarkStart w:id="53" w:name="_Toc389470878"/>
      <w:r>
        <w:rPr>
          <w:rFonts w:hint="eastAsia" w:ascii="仿宋_GB2312" w:hAnsi="仿宋_GB2312" w:eastAsia="仿宋_GB2312" w:cs="仿宋_GB2312"/>
          <w:b/>
          <w:bCs/>
          <w:sz w:val="30"/>
          <w:szCs w:val="30"/>
        </w:rPr>
        <w:t>（七）健全促进职业教育公平的体制机制。</w:t>
      </w:r>
      <w:bookmarkEnd w:id="53"/>
    </w:p>
    <w:p w14:paraId="2CF67FEB">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推动职业教育面向全社会、面向人人。广泛开展面向未升学初高中毕业生、农民、新生代农民工、退役军人、失业人员等群体的职业教育和培训。重视残疾人职业教育，充分考虑各类残疾人员的特点和社会需求，注重拓展专业教育范围，为学习者提高生活质量和就业质量服务。</w:t>
      </w:r>
    </w:p>
    <w:p w14:paraId="65D0C2A9">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加快贫困地区职业教育发展。充分发挥职业教育在扶贫开发中的重要作用，围绕贫困地区产业发展和基本公共服务需求，提高职业教育扶贫的精准度。中央和省级政府、发达地区加大对贫困地区、革命老区、民族地区、边疆地区职业教育的扶持、支援力度。改善民族地区职业院校办学条件。有计划地支持集中连片特殊困难地区内限制开发和禁止开发区初中毕业生到省（区、市）内外经济较发达地区接受职业教育。</w:t>
      </w:r>
    </w:p>
    <w:p w14:paraId="6C4D6A3C">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完善职业教育资助政策体系。健全公平公正、多元投入、规范高效的职业教育国家资助政策体系。逐步建立职业院校助学金覆盖面和补助标准动态调整机制，加大对农林水地矿油核等专业学生的助学力度。推行以直补个人为主的资助经费支付办法，完善直补个人的政策设计、台帐管理和监督检查机制，确保资助资金让真正需要资助的受教育者受益。综合考虑经济社会发展和职业教育改革要求，适时调整职业院校收费标准。</w:t>
      </w:r>
    </w:p>
    <w:p w14:paraId="13AE38F4">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b/>
          <w:bCs/>
          <w:sz w:val="30"/>
          <w:szCs w:val="30"/>
        </w:rPr>
      </w:pPr>
      <w:bookmarkStart w:id="54" w:name="_Toc389470879"/>
      <w:r>
        <w:rPr>
          <w:rFonts w:hint="eastAsia" w:ascii="仿宋_GB2312" w:hAnsi="仿宋_GB2312" w:eastAsia="仿宋_GB2312" w:cs="仿宋_GB2312"/>
          <w:b/>
          <w:bCs/>
          <w:sz w:val="30"/>
          <w:szCs w:val="30"/>
        </w:rPr>
        <w:t>（八）创新职业教育区域合作机制。</w:t>
      </w:r>
      <w:bookmarkEnd w:id="54"/>
    </w:p>
    <w:p w14:paraId="12A14439">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完善东中西部对口支援机制。将职业教育作为东部地区对口支援中西部地区的优先领域。鼓励东部地区职业教育集团吸纳中西部地区职业院校成员，东部地区职业院校（集团）对口支援中西部地区职业院校。推动建立发达地区和欠发达地区中等职业教育合作办学工作机制。国家制定奖补政策，支持东部地区职业院校特别是示范性职业院校扩大面向中西部地区的招生规模。完善东中西部对口支援机制，扩大合作办学招生规模，组建跨区域职业教育集团，总结推广“9+3”免费职业教育模式。改进内地西藏班、新疆中职班的招生计划安排、教学管理工作，统筹安排毕业生就业，加强民族团结教育。</w:t>
      </w:r>
    </w:p>
    <w:p w14:paraId="2D5F544C">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深化区域内职业教育合作。鼓励各地打破行政区划限制，建立区域职业教育合作平台，协调职业教育发展政策。率先在京津冀、长三角、珠三角等地区推动职业院校跨省域合作培养人才、合作培训教师、合作开发课程、共享数字化教学资源、共享教学科研成果。                </w:t>
      </w:r>
    </w:p>
    <w:p w14:paraId="1A87038C">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b/>
          <w:bCs/>
          <w:sz w:val="30"/>
          <w:szCs w:val="30"/>
        </w:rPr>
      </w:pPr>
      <w:bookmarkStart w:id="55" w:name="_Toc389470880"/>
      <w:r>
        <w:rPr>
          <w:rFonts w:hint="eastAsia" w:ascii="仿宋_GB2312" w:hAnsi="仿宋_GB2312" w:eastAsia="仿宋_GB2312" w:cs="仿宋_GB2312"/>
          <w:b/>
          <w:bCs/>
          <w:sz w:val="30"/>
          <w:szCs w:val="30"/>
        </w:rPr>
        <w:t>（九）建立职业教育服务社区机制。</w:t>
      </w:r>
      <w:bookmarkEnd w:id="55"/>
    </w:p>
    <w:p w14:paraId="00EFDAAC">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推动职业院校社区化办学。各类职业院校要发挥社区文化中心、教育中心的作用，举办各种形式短期职业教育、继续教育和文化生活类课程，向社会免费开放服务设施和数字化教育资源。到2015年，所有职业院校都要开设10门以上社区课程。</w:t>
      </w:r>
    </w:p>
    <w:p w14:paraId="22404FD7">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建立社区与职业院校联动机制。建立社区和职业院校联席会议制度，支持社区参与制订职业院校发展规划、校园建设规划、专业建设规划和社区服务计划，协调社区企事业单位为职业院校提供实习实践场所，加强校园周边环境综合治理。</w:t>
      </w:r>
    </w:p>
    <w:p w14:paraId="5F27A1CA">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黑体" w:hAnsi="黑体" w:eastAsia="黑体" w:cs="黑体"/>
          <w:sz w:val="30"/>
          <w:szCs w:val="30"/>
        </w:rPr>
      </w:pPr>
      <w:bookmarkStart w:id="56" w:name="_Toc389470881"/>
      <w:bookmarkStart w:id="57" w:name="_Toc326133248"/>
      <w:bookmarkStart w:id="58" w:name="_Toc317750235"/>
      <w:r>
        <w:rPr>
          <w:rFonts w:hint="eastAsia" w:ascii="黑体" w:hAnsi="黑体" w:eastAsia="黑体" w:cs="黑体"/>
          <w:sz w:val="30"/>
          <w:szCs w:val="30"/>
        </w:rPr>
        <w:t>六、保障实施</w:t>
      </w:r>
      <w:bookmarkEnd w:id="56"/>
    </w:p>
    <w:p w14:paraId="62FF152F">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以完善工作机制和政策配套为重点，建立保障现代职业教育体系建设的政策体系和实施机制。</w:t>
      </w:r>
    </w:p>
    <w:p w14:paraId="682D20B6">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b/>
          <w:bCs/>
          <w:sz w:val="30"/>
          <w:szCs w:val="30"/>
        </w:rPr>
      </w:pPr>
      <w:bookmarkStart w:id="59" w:name="_Toc389470882"/>
      <w:r>
        <w:rPr>
          <w:rFonts w:hint="eastAsia" w:ascii="仿宋_GB2312" w:hAnsi="仿宋_GB2312" w:eastAsia="仿宋_GB2312" w:cs="仿宋_GB2312"/>
          <w:b/>
          <w:bCs/>
          <w:sz w:val="30"/>
          <w:szCs w:val="30"/>
        </w:rPr>
        <w:t>（一）加强组织领导。</w:t>
      </w:r>
      <w:bookmarkEnd w:id="59"/>
    </w:p>
    <w:p w14:paraId="31182D2E">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落实政府责任。中央政府负责制定职业教育体系建设法律法规、重大政策和总体发展规划。充分发挥职业教育工作部门联席会议制度的作用。加强省级政府统筹规划，赋予省级政府在学校布局规划、招生考试等方面更多的权限。加强地市级政府对区域内职业教育的统筹规划与管理。县级政府根据农村经济社会发展需要，完善县域职业教育与职业培训网络。</w:t>
      </w:r>
    </w:p>
    <w:p w14:paraId="60A92200">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明确部门职责。国务院有关部门要有效运用总体规划、政策引导等手段以及税收金融、财政转移支付等杠杆，加强对职业教育的统筹协调和分类指导。教育、人力资源社会保障、发展改革、财政部门以及行业部门根据各自职责分别负责有关工作，共同推进现代职业教育体系建设。</w:t>
      </w:r>
    </w:p>
    <w:p w14:paraId="2B190EBA">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设立专家咨询委员会。专家咨询委员会由行业、教育、人力资源社会保障等领域的专家组成，对现代职业教育体系建设的重大问题提出意见和建议。 </w:t>
      </w:r>
    </w:p>
    <w:p w14:paraId="1B5F7058">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b/>
          <w:bCs/>
          <w:sz w:val="30"/>
          <w:szCs w:val="30"/>
        </w:rPr>
      </w:pPr>
      <w:bookmarkStart w:id="60" w:name="_Toc389470883"/>
      <w:r>
        <w:rPr>
          <w:rFonts w:hint="eastAsia" w:ascii="仿宋_GB2312" w:hAnsi="仿宋_GB2312" w:eastAsia="仿宋_GB2312" w:cs="仿宋_GB2312"/>
          <w:b/>
          <w:bCs/>
          <w:sz w:val="30"/>
          <w:szCs w:val="30"/>
        </w:rPr>
        <w:t>（二）完善支持政策。</w:t>
      </w:r>
      <w:bookmarkEnd w:id="60"/>
    </w:p>
    <w:p w14:paraId="5F57F157">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将职业教育纳入产业发展和城乡建设规划。科学预测经济社会发展对各类人才的需求，推动职业教育层次和专业结构调整与区域产业结构调整相适应，职业教育课程和实训基地建设与产业技术进步相适应，适度超前储备新兴产业急需人才。完善人社部门与有关部门、行业组织联合发布年度分行业、分岗位的人才就业状况和需求预测制度。建立紧缺人才培养能力调查制度。新建城市、城市新区和各类产业集聚区建设要科学规划职业教育布局，统筹教育和产业资源，推动产教融合发展。</w:t>
      </w:r>
    </w:p>
    <w:p w14:paraId="05DA542B">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提高一线劳动者地位待遇。深化收入分配制度改革，提高劳动报酬在初次分配中的比重，健全国有企业、科研院校和高等学校分配激励机制。各地要创造各类人才平等就业环境，改革用人制度，取消用人和人才流动中的城乡、行业、身份、性别等限制。政府部门和企事业单位招收人员不得歧视职业院校毕业生。落实一线劳动者医疗、养老、就业等政策。鼓励企业建立高技能人才职务津贴和特殊岗位津贴制度，按照国家现行法律法规的有关规定对符合条件的高技能人才给予股份和期权等激励措施。提高相关表彰奖励中一线劳动者的比例。鼓励企业和其他用人单位按照国家有关规定建立一线劳动者表彰奖励制度。按照国家有关规定制订国家高技能人才评选标准和办法，选拔出各级各类一线能工巧匠和技术能手，鼓励其在一线岗位建功立业和带徒传承技艺。</w:t>
      </w:r>
    </w:p>
    <w:p w14:paraId="2F0F6376">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完善税收金融支持政策。鼓励企事业单位、社会团体和公民个人通过公益性社会团体或者县级以上人民政府及其部门向职业院校进行捐赠，其捐赠支出按照现行税收法律规定在税前扣除。企业因接受实习生所发生的与取得收入有关的合理的支出，按照税收法律法规的规定在计算应纳税所得额时扣除。对职业院校自办的、以服务学生实习实训为主要目的的企业或经营活动，按照国家有关规定享受税收等优惠。完善金融支持政策。完善职业院校实习学生的实习、见习责任保险制度，完善职业院校学生实习安全管理和劳动保护制度。</w:t>
      </w:r>
    </w:p>
    <w:p w14:paraId="520C4FC7">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完善毕业生就业创业政策。坚持“先培训，后就业”、“先培训，后上岗”原则，对从事涉及公共安全、人身健康、生命财产安全等特殊工种的劳动者，严格落实就业准入法规和政策。规范清理影响职业院校毕业生公平就业的政策。人力资源社会保障、教育部门和职业院校要加强毕业生就业的政策指导和信息服务。各级公共就业服务机构、高校毕业生就业指导服务机构要免费提供就业服务，并加大对技术技能人才的宣传和推荐。加强职业院校就业指导机构的建设，加强就业、创业教育和服务。引导毕业生转变就业观念，鼓励多渠道多形式就业，允许学生休学创业，促进创业带动就业。各地要改善创业环境，充分利用国家现有政策对职业院校毕业生创业加大支持力度。</w:t>
      </w:r>
    </w:p>
    <w:p w14:paraId="7E425E69">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b/>
          <w:bCs/>
          <w:sz w:val="30"/>
          <w:szCs w:val="30"/>
        </w:rPr>
      </w:pPr>
      <w:bookmarkStart w:id="61" w:name="_Toc389470884"/>
      <w:r>
        <w:rPr>
          <w:rFonts w:hint="eastAsia" w:ascii="仿宋_GB2312" w:hAnsi="仿宋_GB2312" w:eastAsia="仿宋_GB2312" w:cs="仿宋_GB2312"/>
          <w:b/>
          <w:bCs/>
          <w:sz w:val="30"/>
          <w:szCs w:val="30"/>
        </w:rPr>
        <w:t>（三）营造良好氛围。</w:t>
      </w:r>
      <w:bookmarkEnd w:id="61"/>
    </w:p>
    <w:p w14:paraId="06E6A8AE">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在全社会树立重视职业教育的理念。加大现代职业教育宣传力度，引导全社会树立尊重劳动、尊重知识、尊重技术、尊重创新的观念，树立劳动最光荣、劳动最崇高、劳动最伟大、劳动最美丽的观念，树立依靠辛勤劳动、诚实劳动、创造性劳动开创美好未来的观念，促进形成“劳动光荣、技能宝贵、创造伟大”的社会氛围，激发年轻人学习职业技能的积极性。大力宣传新中国成立以来涌现的优秀工人群体和“爱岗敬业、争创一流、艰苦奋斗、勇于创新、淡薄名利、甘于奉献”的劳模精神。研究设立职业教育活动周，每年开展宣传教育活动。</w:t>
      </w:r>
    </w:p>
    <w:p w14:paraId="01A14BF3">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b/>
          <w:bCs/>
          <w:sz w:val="30"/>
          <w:szCs w:val="30"/>
        </w:rPr>
      </w:pPr>
      <w:bookmarkStart w:id="62" w:name="_Toc389470885"/>
      <w:r>
        <w:rPr>
          <w:rFonts w:hint="eastAsia" w:ascii="仿宋_GB2312" w:hAnsi="仿宋_GB2312" w:eastAsia="仿宋_GB2312" w:cs="仿宋_GB2312"/>
          <w:b/>
          <w:bCs/>
          <w:sz w:val="30"/>
          <w:szCs w:val="30"/>
        </w:rPr>
        <w:t>（四）加强监测评估。</w:t>
      </w:r>
      <w:bookmarkEnd w:id="62"/>
    </w:p>
    <w:p w14:paraId="53BBFC41">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加强规划宣传。组织动员各类媒体广泛宣传本规划的主要政策，及时总结和宣传各地、各部门、各行业企业推进职业教育体系建设的典型经验和做法，形成全社会关心、支持职业教育体系建设的舆论环境和良好氛围。</w:t>
      </w:r>
    </w:p>
    <w:p w14:paraId="64968A4A">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建立规划实施目标责任制。各级政府要积极推进落实本规划，制定规划各项目标任务的分解落实方案，明确实施单位和实施部门，落实责任分工。各有关部门要制订工作方案，行业主管部门要指导行业企业制定实施办法。各地要围绕规划确定的战略目标、主要任务和制度安排，编制并组织实施本地区职业教育体系建设规划和行动计划，出台相关配套政策，明确时间表、路线图。</w:t>
      </w:r>
    </w:p>
    <w:p w14:paraId="5869E2D3">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加强规划实施情况的监测和督导评估。各地要对规划实施情况进行跟踪指导检查，及时研究规划实施过程中的新情况和新问题。教育督导部门要加强对规划实施情况的督导评估，积极支持第三方机</w:t>
      </w:r>
      <w:r>
        <w:rPr>
          <w:rFonts w:hint="eastAsia" w:ascii="仿宋_GB2312" w:hAnsi="仿宋_GB2312" w:eastAsia="仿宋_GB2312" w:cs="仿宋_GB2312"/>
          <w:sz w:val="30"/>
          <w:szCs w:val="30"/>
        </w:rPr>
        <w:t>构开展评估</w:t>
      </w:r>
      <w:r>
        <w:rPr>
          <w:rFonts w:hint="eastAsia" w:ascii="仿宋_GB2312" w:hAnsi="仿宋_GB2312" w:eastAsia="仿宋_GB2312" w:cs="仿宋_GB2312"/>
          <w:sz w:val="30"/>
          <w:szCs w:val="30"/>
        </w:rPr>
        <w:t>。鼓励社会各界对规划实施情况进行监督。</w:t>
      </w:r>
      <w:bookmarkEnd w:id="57"/>
      <w:bookmarkEnd w:id="58"/>
    </w:p>
    <w:p w14:paraId="55F49A78">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br w:type="page"/>
      </w:r>
    </w:p>
    <w:p w14:paraId="3E751E8F">
      <w:pPr>
        <w:pStyle w:val="2"/>
        <w:numPr>
          <w:ilvl w:val="0"/>
          <w:numId w:val="1"/>
        </w:numPr>
        <w:bidi w:val="0"/>
        <w:ind w:left="0" w:leftChars="0" w:firstLine="640" w:firstLineChars="200"/>
        <w:rPr>
          <w:rFonts w:hint="eastAsia"/>
        </w:rPr>
      </w:pPr>
      <w:bookmarkStart w:id="63" w:name="_Toc24070"/>
      <w:bookmarkStart w:id="64" w:name="_Toc20556"/>
      <w:bookmarkStart w:id="65" w:name="_Toc25795"/>
      <w:bookmarkStart w:id="66" w:name="_Toc2571"/>
      <w:r>
        <w:rPr>
          <w:rFonts w:hint="eastAsia"/>
        </w:rPr>
        <w:t>高等职业教育创新发展行动计划（2015</w:t>
      </w:r>
      <w:r>
        <w:t>-201</w:t>
      </w:r>
      <w:r>
        <w:rPr>
          <w:rFonts w:hint="eastAsia"/>
        </w:rPr>
        <w:t>8年）</w:t>
      </w:r>
      <w:bookmarkEnd w:id="63"/>
      <w:bookmarkEnd w:id="64"/>
      <w:bookmarkEnd w:id="65"/>
    </w:p>
    <w:p w14:paraId="6AD7B752">
      <w:pPr>
        <w:numPr>
          <w:numId w:val="0"/>
        </w:numPr>
        <w:rPr>
          <w:rFonts w:hint="eastAsia"/>
        </w:rPr>
      </w:pPr>
    </w:p>
    <w:p w14:paraId="53EEE9DA">
      <w:pPr>
        <w:numPr>
          <w:numId w:val="0"/>
        </w:numPr>
        <w:bidi w:val="0"/>
        <w:jc w:val="center"/>
        <w:rPr>
          <w:rFonts w:hint="eastAsia"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高等职业教育创新发展行动计划（2015-2018年）</w:t>
      </w:r>
    </w:p>
    <w:p w14:paraId="4FFE6D3F">
      <w:pPr>
        <w:ind w:left="0" w:leftChars="0" w:firstLine="0" w:firstLineChars="0"/>
        <w:rPr>
          <w:rFonts w:hint="eastAsia"/>
          <w:lang w:eastAsia="zh-CN"/>
        </w:rPr>
      </w:pPr>
    </w:p>
    <w:bookmarkEnd w:id="66"/>
    <w:p w14:paraId="792293C9">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为贯彻落实《国务院关于加快发展现代职业教育的决定》和全国人大常委会职业教育法执法检查有关要求，创新发展高等职业教育，制定本行动计划。</w:t>
      </w:r>
    </w:p>
    <w:p w14:paraId="7D96958D">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黑体" w:hAnsi="黑体" w:eastAsia="黑体" w:cs="黑体"/>
        </w:rPr>
      </w:pPr>
      <w:bookmarkStart w:id="67" w:name="_Toc309248021"/>
      <w:bookmarkStart w:id="68" w:name="_Toc318139982"/>
      <w:bookmarkStart w:id="69" w:name="_Toc292285440"/>
      <w:bookmarkStart w:id="70" w:name="_Toc318277105"/>
      <w:bookmarkStart w:id="71" w:name="_Toc345178804"/>
      <w:bookmarkStart w:id="72" w:name="_Toc309579210"/>
      <w:bookmarkStart w:id="73" w:name="_Toc433011401"/>
      <w:r>
        <w:rPr>
          <w:rFonts w:hint="eastAsia" w:ascii="黑体" w:hAnsi="黑体" w:eastAsia="黑体" w:cs="黑体"/>
          <w:lang w:val="en-US" w:eastAsia="zh-CN"/>
        </w:rPr>
        <w:t>一、</w:t>
      </w:r>
      <w:r>
        <w:rPr>
          <w:rFonts w:hint="eastAsia" w:ascii="黑体" w:hAnsi="黑体" w:eastAsia="黑体" w:cs="黑体"/>
        </w:rPr>
        <w:t>总</w:t>
      </w:r>
      <w:bookmarkEnd w:id="67"/>
      <w:bookmarkEnd w:id="68"/>
      <w:bookmarkEnd w:id="69"/>
      <w:bookmarkEnd w:id="70"/>
      <w:bookmarkEnd w:id="71"/>
      <w:bookmarkEnd w:id="72"/>
      <w:r>
        <w:rPr>
          <w:rFonts w:hint="eastAsia" w:ascii="黑体" w:hAnsi="黑体" w:eastAsia="黑体" w:cs="黑体"/>
        </w:rPr>
        <w:t>体要求</w:t>
      </w:r>
      <w:bookmarkEnd w:id="73"/>
      <w:bookmarkStart w:id="74" w:name="_Toc433011402"/>
      <w:bookmarkStart w:id="75" w:name="_Toc290664650"/>
      <w:bookmarkStart w:id="76" w:name="_Toc309579211"/>
      <w:bookmarkStart w:id="77" w:name="_Toc309248022"/>
      <w:bookmarkStart w:id="78" w:name="_Toc290544817"/>
      <w:bookmarkStart w:id="79" w:name="_Toc292285441"/>
    </w:p>
    <w:p w14:paraId="701F81C6">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rPr>
      </w:pPr>
      <w:r>
        <w:rPr>
          <w:rFonts w:hint="eastAsia"/>
          <w:b/>
          <w:bCs/>
        </w:rPr>
        <w:t>（一）指导思想</w:t>
      </w:r>
      <w:bookmarkEnd w:id="74"/>
    </w:p>
    <w:p w14:paraId="471A39C6">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以邓小平理论、“三个代表”重要思想、科学发展观为指导，切实贯彻习近平总书记重要指示精神，服务“四个全面”战略布局和创新驱动发展战略，以立德树人为根本，以服务发展为宗旨，以促进就业为导向，坚持适应需求、面向人人，坚持产教融合、校企合作，坚持工学结合、知行合一，推动高等职业教育与经济社会同步发展，加强技术技能积累，提升人才培养质量，为实现“两个一百年”奋斗目标和中华民族伟大复兴的中国梦提供坚实人才保障。</w:t>
      </w:r>
    </w:p>
    <w:bookmarkEnd w:id="75"/>
    <w:bookmarkEnd w:id="76"/>
    <w:bookmarkEnd w:id="77"/>
    <w:bookmarkEnd w:id="78"/>
    <w:bookmarkEnd w:id="79"/>
    <w:p w14:paraId="6081611E">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lang w:eastAsia="zh-CN"/>
        </w:rPr>
      </w:pPr>
      <w:bookmarkStart w:id="80" w:name="_Toc290664656"/>
      <w:bookmarkStart w:id="81" w:name="_Toc318139989"/>
      <w:bookmarkStart w:id="82" w:name="_Toc292285447"/>
      <w:bookmarkStart w:id="83" w:name="_Toc309579217"/>
      <w:bookmarkStart w:id="84" w:name="_Toc318277112"/>
      <w:bookmarkStart w:id="85" w:name="_Toc433011403"/>
      <w:bookmarkStart w:id="86" w:name="_Toc345178811"/>
      <w:bookmarkStart w:id="87" w:name="_Toc309248028"/>
      <w:bookmarkStart w:id="88" w:name="_Toc290544824"/>
      <w:r>
        <w:rPr>
          <w:rFonts w:hint="eastAsia"/>
          <w:b/>
          <w:bCs/>
        </w:rPr>
        <w:t>（二）基本</w:t>
      </w:r>
      <w:bookmarkEnd w:id="80"/>
      <w:r>
        <w:rPr>
          <w:rFonts w:hint="eastAsia"/>
          <w:b/>
          <w:bCs/>
        </w:rPr>
        <w:t>原则</w:t>
      </w:r>
      <w:bookmarkEnd w:id="81"/>
      <w:bookmarkEnd w:id="82"/>
      <w:bookmarkEnd w:id="83"/>
      <w:bookmarkEnd w:id="84"/>
      <w:bookmarkEnd w:id="85"/>
      <w:bookmarkEnd w:id="86"/>
      <w:bookmarkEnd w:id="87"/>
    </w:p>
    <w:p w14:paraId="3C9AA678">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b/>
          <w:bCs/>
        </w:rPr>
        <w:t>——坚持政府推动与引导社会力量参与相结合。</w:t>
      </w:r>
      <w:r>
        <w:rPr>
          <w:rFonts w:hint="eastAsia" w:ascii="仿宋_GB2312" w:hAnsi="仿宋_GB2312" w:eastAsia="仿宋_GB2312" w:cs="仿宋_GB2312"/>
          <w:sz w:val="30"/>
          <w:szCs w:val="30"/>
        </w:rPr>
        <w:t>强化地方政府统筹发展职业教育的责任，落实高等职业院校办学自主权，探索本科层次职业教育实现形式；充分发挥市场机制作用，引导社会力量参与办学，发挥企业重要办学主体作用，探索发展股份制、混合所有制高等职业院校。</w:t>
      </w:r>
    </w:p>
    <w:bookmarkEnd w:id="88"/>
    <w:p w14:paraId="046BAED4">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b/>
          <w:bCs/>
        </w:rPr>
        <w:t>——坚持顶层设计与支持地方先行先试相结合。</w:t>
      </w:r>
      <w:r>
        <w:rPr>
          <w:rFonts w:hint="eastAsia" w:ascii="仿宋_GB2312" w:hAnsi="仿宋_GB2312" w:eastAsia="仿宋_GB2312" w:cs="仿宋_GB2312"/>
          <w:sz w:val="30"/>
          <w:szCs w:val="30"/>
        </w:rPr>
        <w:t>加强现代职业教育国家制度建设，深化重要领域和关键环节改革；鼓励和支持有条件的地区率先开展试点，积极探索现代职业教育体系建设的实现路径和制度创新，完善现代职业教育的国家标准、国家机制和国家政策。</w:t>
      </w:r>
    </w:p>
    <w:p w14:paraId="415676F6">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bookmarkStart w:id="89" w:name="_Toc290544826"/>
      <w:r>
        <w:rPr>
          <w:rFonts w:hint="eastAsia"/>
          <w:b/>
          <w:bCs/>
        </w:rPr>
        <w:t>——坚持扶优扶强与提升整体保障水平相结合。</w:t>
      </w:r>
      <w:r>
        <w:rPr>
          <w:rFonts w:hint="eastAsia" w:ascii="仿宋_GB2312" w:hAnsi="仿宋_GB2312" w:eastAsia="仿宋_GB2312" w:cs="仿宋_GB2312"/>
          <w:sz w:val="30"/>
          <w:szCs w:val="30"/>
        </w:rPr>
        <w:t>支持部分普通本科高等学校转型发展、优质专科高等职业院校创新发展、职业院校骨干专业特色发展，在体制机制创新、人才培养模式改革、社会服务能力提升等方面率先取得突破；健全高等职业院校生均拨款制度和质量保证机制，全面提高保障水平。</w:t>
      </w:r>
    </w:p>
    <w:p w14:paraId="306C01F2">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b/>
          <w:bCs/>
        </w:rPr>
        <w:t>——坚持教学改革与提升院校治理能力相结合。</w:t>
      </w:r>
      <w:r>
        <w:rPr>
          <w:rFonts w:hint="eastAsia" w:ascii="仿宋_GB2312" w:hAnsi="仿宋_GB2312" w:eastAsia="仿宋_GB2312" w:cs="仿宋_GB2312"/>
          <w:sz w:val="30"/>
          <w:szCs w:val="30"/>
        </w:rPr>
        <w:t>以提高质量为核心，深化专业内涵建设，推进课程体系、教学模式改革；与人才培养和教师能力提升相结合开展应用技术研发；创新校企合作、工学结合的育人机制；推动专科高等职业院校依法制定章程，完善治理结构，提升治理能力。</w:t>
      </w:r>
    </w:p>
    <w:bookmarkEnd w:id="89"/>
    <w:p w14:paraId="108553D3">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rPr>
      </w:pPr>
      <w:bookmarkStart w:id="90" w:name="_Toc318277113"/>
      <w:bookmarkStart w:id="91" w:name="_Toc433011404"/>
      <w:bookmarkStart w:id="92" w:name="_Toc345178812"/>
      <w:bookmarkStart w:id="93" w:name="_Toc318139990"/>
      <w:r>
        <w:rPr>
          <w:rFonts w:hint="eastAsia"/>
          <w:b/>
          <w:bCs/>
        </w:rPr>
        <w:t>（三）主要目标</w:t>
      </w:r>
      <w:bookmarkEnd w:id="90"/>
      <w:bookmarkEnd w:id="91"/>
      <w:bookmarkEnd w:id="92"/>
      <w:bookmarkEnd w:id="93"/>
    </w:p>
    <w:p w14:paraId="63751EDA">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通过三年建设，高等职业教育整体实力显著增强，人才培养的结构更加合理、质量持续提高，服务中国制造2025的能力和服务经济社会发展的水平显著提升，促使高等教育结构优化成效更加明显，推动现代职业教育体系日臻完善。</w:t>
      </w:r>
    </w:p>
    <w:p w14:paraId="6933959D">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b/>
          <w:bCs/>
        </w:rPr>
        <w:t>——体系结构更加合理。</w:t>
      </w:r>
      <w:r>
        <w:rPr>
          <w:rFonts w:hint="eastAsia" w:ascii="仿宋_GB2312" w:hAnsi="仿宋_GB2312" w:eastAsia="仿宋_GB2312" w:cs="仿宋_GB2312"/>
          <w:sz w:val="30"/>
          <w:szCs w:val="30"/>
        </w:rPr>
        <w:t>人才培养的层次、规模与经济社会发展更加匹配，专科层次职业教育在校生达到1420万人，接受本科层次职业教育学生达到一定规模，以职业需求为导向的专业学位研究生培养模式改革取得阶段成果。</w:t>
      </w:r>
    </w:p>
    <w:p w14:paraId="2ED288FD">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bookmarkStart w:id="94" w:name="_Toc318139991"/>
      <w:bookmarkStart w:id="95" w:name="_Toc318277114"/>
      <w:bookmarkStart w:id="96" w:name="_Toc345178813"/>
      <w:r>
        <w:rPr>
          <w:rFonts w:hint="eastAsia"/>
          <w:b/>
          <w:bCs/>
        </w:rPr>
        <w:t>——服务发展的能力进一步增强</w:t>
      </w:r>
      <w:bookmarkEnd w:id="94"/>
      <w:bookmarkEnd w:id="95"/>
      <w:r>
        <w:rPr>
          <w:rFonts w:hint="eastAsia"/>
          <w:b/>
          <w:bCs/>
        </w:rPr>
        <w:t>。</w:t>
      </w:r>
      <w:bookmarkEnd w:id="96"/>
      <w:r>
        <w:rPr>
          <w:rFonts w:hint="eastAsia" w:ascii="仿宋_GB2312" w:hAnsi="仿宋_GB2312" w:eastAsia="仿宋_GB2312" w:cs="仿宋_GB2312"/>
          <w:sz w:val="30"/>
          <w:szCs w:val="30"/>
        </w:rPr>
        <w:t>技术技能人才培养质量大幅提升，高等职业院校的布局结构、专业设置与区域产业发展结合更加紧密；应用技术研发能力和社会服务水平大幅提高；与行业企业共同推进技术技能积累创新的机制初步形成；服务中国制造2025的能力显著增强。</w:t>
      </w:r>
    </w:p>
    <w:p w14:paraId="25C47746">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bookmarkStart w:id="97" w:name="_Toc318139993"/>
      <w:bookmarkStart w:id="98" w:name="_Toc318277116"/>
      <w:bookmarkStart w:id="99" w:name="_Toc345178815"/>
      <w:r>
        <w:rPr>
          <w:rFonts w:hint="eastAsia"/>
          <w:b/>
          <w:bCs/>
        </w:rPr>
        <w:t>——</w:t>
      </w:r>
      <w:bookmarkEnd w:id="97"/>
      <w:bookmarkEnd w:id="98"/>
      <w:r>
        <w:rPr>
          <w:rFonts w:hint="eastAsia"/>
          <w:b/>
          <w:bCs/>
        </w:rPr>
        <w:t>可持续发展的机制更加完善。</w:t>
      </w:r>
      <w:bookmarkEnd w:id="99"/>
      <w:r>
        <w:rPr>
          <w:rFonts w:hint="eastAsia" w:ascii="仿宋_GB2312" w:hAnsi="仿宋_GB2312" w:eastAsia="仿宋_GB2312" w:cs="仿宋_GB2312"/>
          <w:sz w:val="30"/>
          <w:szCs w:val="30"/>
        </w:rPr>
        <w:t>公办高等职业院校生均拨款制度全面建立；院校治理能力明显改善；职普沟通更加便捷，升学渠道进一步畅通；支持社会力量参与职业教育的政策更加健全；产教融合发展成效更加明显；职业教育国家标准体系更加完善；职业教育信息化水平明显提高。</w:t>
      </w:r>
    </w:p>
    <w:p w14:paraId="166947C8">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b/>
          <w:bCs/>
        </w:rPr>
        <w:t>——发展质量持续提升。</w:t>
      </w:r>
      <w:r>
        <w:rPr>
          <w:rFonts w:hint="eastAsia" w:ascii="仿宋_GB2312" w:hAnsi="仿宋_GB2312" w:eastAsia="仿宋_GB2312" w:cs="仿宋_GB2312"/>
          <w:sz w:val="30"/>
          <w:szCs w:val="30"/>
        </w:rPr>
        <w:t>以专业为载体的优质教育资源总量和覆盖区域不断扩大，支持优质专科高等职业院校争创国际先进水平的机制基本形成；多方参与、多元评价的质量保证机制更加完善；基于增强发展能力的东中西部合作机制更加成型；融人文素养、职业精神、职业技能为一体的育人文化初步形成；我国高等职业教育的国际影响持续扩大、国际话语权不断增强。</w:t>
      </w:r>
    </w:p>
    <w:p w14:paraId="6E09BF03">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黑体" w:hAnsi="黑体" w:eastAsia="黑体" w:cs="黑体"/>
          <w:lang w:val="en-US" w:eastAsia="zh-CN"/>
        </w:rPr>
      </w:pPr>
      <w:bookmarkStart w:id="100" w:name="_Toc433011405"/>
      <w:r>
        <w:rPr>
          <w:rFonts w:hint="eastAsia" w:ascii="黑体" w:hAnsi="黑体" w:eastAsia="黑体" w:cs="黑体"/>
          <w:lang w:val="en-US" w:eastAsia="zh-CN"/>
        </w:rPr>
        <w:t>二、主要任务与举措</w:t>
      </w:r>
      <w:bookmarkEnd w:id="100"/>
    </w:p>
    <w:p w14:paraId="3FB948AF">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lang w:eastAsia="zh-CN"/>
        </w:rPr>
      </w:pPr>
      <w:bookmarkStart w:id="101" w:name="_Toc433011406"/>
      <w:r>
        <w:rPr>
          <w:rFonts w:hint="eastAsia"/>
          <w:b/>
          <w:bCs/>
        </w:rPr>
        <w:t>（一）扩大优质教育资源</w:t>
      </w:r>
      <w:bookmarkEnd w:id="101"/>
    </w:p>
    <w:p w14:paraId="064B5D71">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根据区域特点，以专业建设为重点，提升要素质量、创新发展形式、扩大优质教育资源的总量和覆盖面，提高区域高等职业教育的均衡程度和社会认可度。</w:t>
      </w:r>
    </w:p>
    <w:p w14:paraId="7A4399B0">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lang w:eastAsia="zh-CN"/>
        </w:rPr>
      </w:pPr>
      <w:bookmarkStart w:id="102" w:name="_Toc433011407"/>
      <w:r>
        <w:rPr>
          <w:rFonts w:hint="eastAsia"/>
          <w:b/>
          <w:bCs/>
          <w:lang w:eastAsia="zh-CN"/>
        </w:rPr>
        <w:t>1</w:t>
      </w:r>
      <w:r>
        <w:rPr>
          <w:rFonts w:hint="eastAsia"/>
          <w:b/>
          <w:bCs/>
        </w:rPr>
        <w:t>.</w:t>
      </w:r>
      <w:r>
        <w:rPr>
          <w:rFonts w:hint="eastAsia"/>
          <w:b/>
          <w:bCs/>
          <w:lang w:eastAsia="zh-CN"/>
        </w:rPr>
        <w:t xml:space="preserve"> </w:t>
      </w:r>
      <w:r>
        <w:rPr>
          <w:rFonts w:hint="eastAsia"/>
          <w:b/>
          <w:bCs/>
        </w:rPr>
        <w:t>提升专业建设水平</w:t>
      </w:r>
      <w:bookmarkEnd w:id="102"/>
    </w:p>
    <w:p w14:paraId="1D75D9AF">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加强专科高等职业院校的专业建设，凝练专业方向、改善实训条件、深化教学改革，整体提升专业发展水平。支持紧贴产业发展、校企深度合作、社会认可度高的骨干专业建设。支持专科高等职业院校与技术先进、管理规范、社会责任感强的规模以上企业深度合作，共建生产性实训基地。面向企业的创新需求，依托重点专业（群），校企共建研发机构。面向国家重点发展产业，提高专业的技术协同创新能力，促进区域产业结构调整和新兴产业发展。探索发展本科层次职业教育专业。培养中国制造2025需要的不同层次人才。</w:t>
      </w:r>
    </w:p>
    <w:p w14:paraId="6D594E90">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rPr>
      </w:pPr>
      <w:bookmarkStart w:id="103" w:name="_Toc433011408"/>
      <w:r>
        <w:rPr>
          <w:rFonts w:hint="eastAsia"/>
          <w:b/>
          <w:bCs/>
          <w:lang w:eastAsia="zh-CN"/>
        </w:rPr>
        <w:t>2</w:t>
      </w:r>
      <w:r>
        <w:rPr>
          <w:rFonts w:hint="eastAsia"/>
          <w:b/>
          <w:bCs/>
        </w:rPr>
        <w:t>.</w:t>
      </w:r>
      <w:r>
        <w:rPr>
          <w:rFonts w:hint="eastAsia"/>
          <w:b/>
          <w:bCs/>
          <w:lang w:eastAsia="zh-CN"/>
        </w:rPr>
        <w:t xml:space="preserve"> 开展</w:t>
      </w:r>
      <w:r>
        <w:rPr>
          <w:rFonts w:hint="eastAsia"/>
          <w:b/>
          <w:bCs/>
        </w:rPr>
        <w:t>优</w:t>
      </w:r>
      <w:r>
        <w:rPr>
          <w:rFonts w:hint="eastAsia"/>
          <w:b/>
          <w:bCs/>
          <w:lang w:eastAsia="zh-CN"/>
        </w:rPr>
        <w:t>质</w:t>
      </w:r>
      <w:r>
        <w:rPr>
          <w:rFonts w:hint="eastAsia"/>
          <w:b/>
          <w:bCs/>
        </w:rPr>
        <w:t>学校建设</w:t>
      </w:r>
      <w:bookmarkEnd w:id="103"/>
    </w:p>
    <w:p w14:paraId="0785803A">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坚持以示范建设引领发展，鼓励支持地方建设一批办学定位准确、专业特色鲜明、社会服务能力强、综合办学水平领先、与地方经济社会发展需要契合度高、行业优势突出的优质专科高等职业院校，持续深化教育教学改革、大幅提升技术创新服务能力、实质性扩大国际交流合作、培养杰出技术技能人才，增强专业教师和毕业生在行业企业的影响力，提升学校对产业发展的贡献度，争创国际先进水平。</w:t>
      </w:r>
    </w:p>
    <w:p w14:paraId="6E6F815F">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lang w:eastAsia="zh-CN"/>
        </w:rPr>
      </w:pPr>
      <w:bookmarkStart w:id="104" w:name="_Toc433011409"/>
      <w:r>
        <w:rPr>
          <w:rFonts w:hint="eastAsia"/>
          <w:b/>
          <w:bCs/>
          <w:lang w:eastAsia="zh-CN"/>
        </w:rPr>
        <w:t>3. 引进境外优质资源</w:t>
      </w:r>
      <w:bookmarkEnd w:id="104"/>
    </w:p>
    <w:p w14:paraId="18F75DB3">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加强与信誉良好的国际组织、跨国企业以及职业教育发达国家开展交流与合作，探索中外合作办学的新途径、新模式。支持专科高等职业院校学习和引进国际先进成熟适用的职业标准、专业课程、教材体系和数字化教育资源；选择类型相同、专业相近的国（境）外高水平院校联合开发课程，共建专业、实验室或实训基地，建立教师交流、学生交换、学分互认等合作关系；申办聘请外国专家（文教类）许可、举办高水平中外合作办学项目和机构。</w:t>
      </w:r>
    </w:p>
    <w:p w14:paraId="30D722EC">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lang w:eastAsia="zh-CN"/>
        </w:rPr>
      </w:pPr>
      <w:bookmarkStart w:id="105" w:name="_Toc433011410"/>
      <w:r>
        <w:rPr>
          <w:rFonts w:hint="eastAsia"/>
          <w:b/>
          <w:bCs/>
          <w:lang w:eastAsia="zh-CN"/>
        </w:rPr>
        <w:t>4</w:t>
      </w:r>
      <w:r>
        <w:rPr>
          <w:rFonts w:hint="eastAsia"/>
          <w:b/>
          <w:bCs/>
        </w:rPr>
        <w:t>.</w:t>
      </w:r>
      <w:r>
        <w:rPr>
          <w:rFonts w:hint="eastAsia"/>
          <w:b/>
          <w:bCs/>
          <w:lang w:eastAsia="zh-CN"/>
        </w:rPr>
        <w:t xml:space="preserve"> 加强</w:t>
      </w:r>
      <w:r>
        <w:rPr>
          <w:rFonts w:hint="eastAsia"/>
          <w:b/>
          <w:bCs/>
        </w:rPr>
        <w:t>教师</w:t>
      </w:r>
      <w:r>
        <w:rPr>
          <w:rFonts w:hint="eastAsia"/>
          <w:b/>
          <w:bCs/>
          <w:lang w:eastAsia="zh-CN"/>
        </w:rPr>
        <w:t>队伍建设</w:t>
      </w:r>
      <w:bookmarkEnd w:id="105"/>
    </w:p>
    <w:p w14:paraId="777569D8">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围绕提升专业教学能力和实践动手能力，健全专科高等职业院校专任教师的培养和继续教育制度。推进高水平大学和大中型企业共建“双师型”教师培养培训基地，探索“学历教育+企业实训”的培养办法；完善以老带新的青年教师培养机制；建立教师轮训制度；专业教师每五年企业实践时间累计不少于6个月。增强职业技术师范院校的职教教师培养能力。</w:t>
      </w:r>
    </w:p>
    <w:p w14:paraId="26FEAA0D">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加强以专业技术人员和高技能人才为主，主要承担专业课程教学和实践教学任务的兼职教师队伍建设。支持专科高等职业院校按照有关规定自主聘请兼职教师，学校在编制年度预算时应统筹考虑经费安排；加强兼职教师的职业教育教学规律与教学方法培训；支持兼职教师或合作企业牵头教学研究项目、组织实施教学改革；把指导学生顶岗实习的企业技术人员纳入兼职教师管理范围。将企事业单位兼职教师任教情况作为个人业绩考核的重要内容。兼职教师数按每学年授课160学时为1名教师计算。在有关民族地区加强双语双师型教师队伍建设。</w:t>
      </w:r>
    </w:p>
    <w:p w14:paraId="3A762E70">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rPr>
      </w:pPr>
      <w:bookmarkStart w:id="106" w:name="_Toc433011411"/>
      <w:r>
        <w:rPr>
          <w:rFonts w:hint="eastAsia"/>
          <w:b/>
          <w:bCs/>
          <w:lang w:eastAsia="zh-CN"/>
        </w:rPr>
        <w:t>5</w:t>
      </w:r>
      <w:r>
        <w:rPr>
          <w:rFonts w:hint="eastAsia"/>
          <w:b/>
          <w:bCs/>
        </w:rPr>
        <w:t>.</w:t>
      </w:r>
      <w:r>
        <w:rPr>
          <w:rFonts w:hint="eastAsia"/>
          <w:b/>
          <w:bCs/>
          <w:lang w:eastAsia="zh-CN"/>
        </w:rPr>
        <w:t xml:space="preserve"> 推进信息技术应用</w:t>
      </w:r>
      <w:bookmarkEnd w:id="106"/>
    </w:p>
    <w:p w14:paraId="5BB28FDA">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顺应“互联网+”的发展趋势，构建国家、省、学校三级数字教育资源共建共享体系。国家级资源主要面向专业布点多、学生数量大、行业企业需求迫切的专业领域；省级资源根据本地发展需要和职业教育基础，与国家级资源错位规划建设；校级资源根据院校自身条件补充建设，突出校本特色。研制资源建设指南和监测评价体系，在保证公共服务基础上鼓励围绕应用成效展开竞争。探索建立高效率低成本的资源可持续开发、应用、共享、交易服务模式和运作机制。</w:t>
      </w:r>
    </w:p>
    <w:p w14:paraId="3B85EC59">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应用信息技术改造传统教学，促进泛在、移动、个性化学习方式的形成。在现场实习安排困难或危险性高的专业领域，开发替代性虚拟仿真实训系统；针对教学中难以理解的复杂结构复杂运动等，开发仿真教学软件。推广教学过程与生产过程实时互动的远程教学。</w:t>
      </w:r>
    </w:p>
    <w:p w14:paraId="325E6151">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推进落实职业院校数字校园建设相关标准；加快职业教育管理信息化平台建设，消除信息孤岛；将信息技术应用能力作为教师评聘考核的重要依据。办好全国职业院校信息化教学大赛。</w:t>
      </w:r>
    </w:p>
    <w:p w14:paraId="294A4DAC">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rPr>
      </w:pPr>
      <w:bookmarkStart w:id="107" w:name="_Toc433011412"/>
      <w:r>
        <w:rPr>
          <w:rFonts w:hint="eastAsia"/>
          <w:b/>
          <w:bCs/>
          <w:lang w:eastAsia="zh-CN"/>
        </w:rPr>
        <w:t>6</w:t>
      </w:r>
      <w:r>
        <w:rPr>
          <w:rFonts w:hint="eastAsia"/>
          <w:b/>
          <w:bCs/>
        </w:rPr>
        <w:t>.</w:t>
      </w:r>
      <w:r>
        <w:rPr>
          <w:rFonts w:hint="eastAsia"/>
          <w:b/>
          <w:bCs/>
          <w:lang w:eastAsia="zh-CN"/>
        </w:rPr>
        <w:t xml:space="preserve"> </w:t>
      </w:r>
      <w:r>
        <w:rPr>
          <w:rFonts w:hint="eastAsia"/>
          <w:b/>
          <w:bCs/>
        </w:rPr>
        <w:t>完善高等职业教育结构</w:t>
      </w:r>
      <w:bookmarkEnd w:id="107"/>
    </w:p>
    <w:p w14:paraId="610554CC">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推进高等学校分类管理，系统构建专科、本科、专业学位研究生培养体系。加快专科高等职业院校改革步伐，深化人才培养模式改革，提升应用技术创新服务能力，拓展社区教育和终身学习服务；持续缩减本科高校举办的就业率（不含升学）低的专科高等职业教育规模，推动部分地方普通本科高等学校转型发展，引导一批独立学院发展成为应用技术类型高校，重点举办本科层次职业教育；推动产学结合培养专业学位研究生，强化实践能力培养；开展设立专科高等职业教育学位的可行性研究。</w:t>
      </w:r>
    </w:p>
    <w:p w14:paraId="338A3A17">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健全职业教育接续培养制度。加快高等职业教育标准体系制定工作；协调各级职业教育的专业设置与目录管理；系统设计接续专业的人才培养方案和教学内容安排；从专业设置入手规范初中起点五年制高职办学，强化专科高等职业院校的主导作用；探索区别于学科型人才培养的本科层次职业教育实现形式和培养模式。探索以学分转换和学力补充为核心的职普互通机制。推进毕业证书与职业资格证书对接。</w:t>
      </w:r>
    </w:p>
    <w:p w14:paraId="4597122E">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rPr>
      </w:pPr>
      <w:bookmarkStart w:id="108" w:name="_Toc433011413"/>
      <w:r>
        <w:rPr>
          <w:rFonts w:hint="eastAsia"/>
          <w:b/>
          <w:bCs/>
          <w:lang w:eastAsia="zh-CN"/>
        </w:rPr>
        <w:t>7</w:t>
      </w:r>
      <w:r>
        <w:rPr>
          <w:rFonts w:hint="eastAsia"/>
          <w:b/>
          <w:bCs/>
        </w:rPr>
        <w:t>.</w:t>
      </w:r>
      <w:r>
        <w:rPr>
          <w:rFonts w:hint="eastAsia"/>
          <w:b/>
          <w:bCs/>
          <w:lang w:eastAsia="zh-CN"/>
        </w:rPr>
        <w:t xml:space="preserve"> </w:t>
      </w:r>
      <w:r>
        <w:rPr>
          <w:rFonts w:hint="eastAsia"/>
          <w:b/>
          <w:bCs/>
        </w:rPr>
        <w:t>推动职业教育集团化发展</w:t>
      </w:r>
      <w:bookmarkEnd w:id="108"/>
    </w:p>
    <w:p w14:paraId="550469C8">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鼓励中央企业和行业龙头企业、行业</w:t>
      </w:r>
      <w:r>
        <w:rPr>
          <w:rFonts w:hint="eastAsia" w:ascii="仿宋_GB2312" w:hAnsi="仿宋_GB2312" w:eastAsia="仿宋_GB2312" w:cs="仿宋_GB2312"/>
          <w:sz w:val="30"/>
          <w:szCs w:val="30"/>
          <w:lang w:eastAsia="zh-CN"/>
        </w:rPr>
        <w:t>部门</w:t>
      </w:r>
      <w:r>
        <w:rPr>
          <w:rFonts w:hint="eastAsia" w:ascii="仿宋_GB2312" w:hAnsi="仿宋_GB2312" w:eastAsia="仿宋_GB2312" w:cs="仿宋_GB2312"/>
          <w:sz w:val="30"/>
          <w:szCs w:val="30"/>
        </w:rPr>
        <w:t>、高等职业院校等，围绕区域经济发展对人才的需求，牵头组建职业教育集团</w:t>
      </w:r>
      <w:r>
        <w:rPr>
          <w:rFonts w:hint="eastAsia" w:ascii="仿宋_GB2312" w:hAnsi="仿宋_GB2312" w:eastAsia="仿宋_GB2312" w:cs="仿宋_GB2312"/>
          <w:sz w:val="30"/>
          <w:szCs w:val="30"/>
          <w:lang w:eastAsia="zh-CN"/>
        </w:rPr>
        <w:t>，并按照属地化管理原则在省级教育行政部门备案</w:t>
      </w:r>
      <w:r>
        <w:rPr>
          <w:rFonts w:hint="eastAsia" w:ascii="仿宋_GB2312" w:hAnsi="仿宋_GB2312" w:eastAsia="仿宋_GB2312" w:cs="仿宋_GB2312"/>
          <w:sz w:val="30"/>
          <w:szCs w:val="30"/>
        </w:rPr>
        <w:t>。开展多元投</w:t>
      </w:r>
      <w:r>
        <w:rPr>
          <w:rFonts w:hint="eastAsia" w:ascii="仿宋_GB2312" w:hAnsi="仿宋_GB2312" w:eastAsia="仿宋_GB2312" w:cs="仿宋_GB2312"/>
          <w:sz w:val="30"/>
          <w:szCs w:val="30"/>
          <w:lang w:eastAsia="zh-CN"/>
        </w:rPr>
        <w:t>入</w:t>
      </w:r>
      <w:r>
        <w:rPr>
          <w:rFonts w:hint="eastAsia" w:ascii="仿宋_GB2312" w:hAnsi="仿宋_GB2312" w:eastAsia="仿宋_GB2312" w:cs="仿宋_GB2312"/>
          <w:sz w:val="30"/>
          <w:szCs w:val="30"/>
        </w:rPr>
        <w:t>主体依法共建职业教育集团的改革试点，</w:t>
      </w:r>
      <w:r>
        <w:rPr>
          <w:rFonts w:hint="eastAsia" w:ascii="仿宋_GB2312" w:hAnsi="仿宋_GB2312" w:eastAsia="仿宋_GB2312" w:cs="仿宋_GB2312"/>
          <w:sz w:val="30"/>
          <w:szCs w:val="30"/>
          <w:lang w:eastAsia="zh-CN"/>
        </w:rPr>
        <w:t>通过</w:t>
      </w:r>
      <w:r>
        <w:rPr>
          <w:rFonts w:hint="eastAsia" w:ascii="仿宋_GB2312" w:hAnsi="仿宋_GB2312" w:eastAsia="仿宋_GB2312" w:cs="仿宋_GB2312"/>
          <w:sz w:val="30"/>
          <w:szCs w:val="30"/>
        </w:rPr>
        <w:t>人员互聘、平台共</w:t>
      </w:r>
      <w:r>
        <w:rPr>
          <w:rFonts w:hint="eastAsia" w:ascii="仿宋_GB2312" w:hAnsi="仿宋_GB2312" w:eastAsia="仿宋_GB2312" w:cs="仿宋_GB2312"/>
          <w:sz w:val="30"/>
          <w:szCs w:val="30"/>
          <w:lang w:eastAsia="zh-CN"/>
        </w:rPr>
        <w:t>享</w:t>
      </w:r>
      <w:r>
        <w:rPr>
          <w:rFonts w:hint="eastAsia" w:ascii="仿宋_GB2312" w:hAnsi="仿宋_GB2312" w:eastAsia="仿宋_GB2312" w:cs="仿宋_GB2312"/>
          <w:sz w:val="30"/>
          <w:szCs w:val="30"/>
        </w:rPr>
        <w:t>，探索建立基于产权制度和利益共享机制的集团治理结构</w:t>
      </w:r>
      <w:r>
        <w:rPr>
          <w:rFonts w:hint="eastAsia" w:ascii="仿宋_GB2312" w:hAnsi="仿宋_GB2312" w:eastAsia="仿宋_GB2312" w:cs="仿宋_GB2312"/>
          <w:sz w:val="30"/>
          <w:szCs w:val="30"/>
          <w:lang w:eastAsia="zh-CN"/>
        </w:rPr>
        <w:t>与</w:t>
      </w:r>
      <w:r>
        <w:rPr>
          <w:rFonts w:hint="eastAsia" w:ascii="仿宋_GB2312" w:hAnsi="仿宋_GB2312" w:eastAsia="仿宋_GB2312" w:cs="仿宋_GB2312"/>
          <w:sz w:val="30"/>
          <w:szCs w:val="30"/>
        </w:rPr>
        <w:t>运行机制；建立基于学分</w:t>
      </w:r>
      <w:r>
        <w:rPr>
          <w:rFonts w:hint="eastAsia" w:ascii="仿宋_GB2312" w:hAnsi="仿宋_GB2312" w:eastAsia="仿宋_GB2312" w:cs="仿宋_GB2312"/>
          <w:sz w:val="30"/>
          <w:szCs w:val="30"/>
          <w:lang w:eastAsia="zh-CN"/>
        </w:rPr>
        <w:t>转换</w:t>
      </w:r>
      <w:r>
        <w:rPr>
          <w:rFonts w:hint="eastAsia" w:ascii="仿宋_GB2312" w:hAnsi="仿宋_GB2312" w:eastAsia="仿宋_GB2312" w:cs="仿宋_GB2312"/>
          <w:sz w:val="30"/>
          <w:szCs w:val="30"/>
        </w:rPr>
        <w:t>的集团内部教学管理模式。支持</w:t>
      </w:r>
      <w:r>
        <w:rPr>
          <w:rFonts w:hint="eastAsia" w:ascii="仿宋_GB2312" w:hAnsi="仿宋_GB2312" w:eastAsia="仿宋_GB2312" w:cs="仿宋_GB2312"/>
          <w:sz w:val="30"/>
          <w:szCs w:val="30"/>
          <w:lang w:eastAsia="zh-CN"/>
        </w:rPr>
        <w:t>有特色的</w:t>
      </w:r>
      <w:r>
        <w:rPr>
          <w:rFonts w:hint="eastAsia" w:ascii="仿宋_GB2312" w:hAnsi="仿宋_GB2312" w:eastAsia="仿宋_GB2312" w:cs="仿宋_GB2312"/>
          <w:sz w:val="30"/>
          <w:szCs w:val="30"/>
        </w:rPr>
        <w:t>专科高等职业院校以输出品牌、资源和管理的方式成立连锁型职业教育集团。积极吸收科研院所及其他社会组织参与职业教育集团。鼓励职业教育集团与跨国企业、境外教育机构等开展合作。</w:t>
      </w:r>
    </w:p>
    <w:p w14:paraId="4F7D6C2C">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rPr>
      </w:pPr>
      <w:bookmarkStart w:id="109" w:name="_Toc433011414"/>
      <w:r>
        <w:rPr>
          <w:rFonts w:hint="eastAsia"/>
          <w:b/>
          <w:bCs/>
          <w:lang w:eastAsia="zh-CN"/>
        </w:rPr>
        <w:t>8</w:t>
      </w:r>
      <w:r>
        <w:rPr>
          <w:rFonts w:hint="eastAsia"/>
          <w:b/>
          <w:bCs/>
        </w:rPr>
        <w:t>.</w:t>
      </w:r>
      <w:r>
        <w:rPr>
          <w:rFonts w:hint="eastAsia"/>
          <w:b/>
          <w:bCs/>
          <w:lang w:eastAsia="zh-CN"/>
        </w:rPr>
        <w:t xml:space="preserve"> 促进</w:t>
      </w:r>
      <w:r>
        <w:rPr>
          <w:rFonts w:hint="eastAsia"/>
          <w:b/>
          <w:bCs/>
        </w:rPr>
        <w:t>区域协调发展</w:t>
      </w:r>
      <w:bookmarkEnd w:id="109"/>
    </w:p>
    <w:p w14:paraId="2984E578">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科学规划区域高等职业教育布局与发展。引导专科高等职业院校集中力量办好当地需要的特色优势专业（群）。探索基于增强发展能力的东中西部合作机制，支持东中西部学校联合办学，鼓励和支持东中部地区高等职业院校（或职教集团），通过托管、集团化办学等形式，对口支援西部地区职业教育发展。支援革命老区、西藏及四省藏区、新疆和集中连片特殊困难地区的专科高等职业院校提升办学基础能力和人才培养水平。深入推进地市级高等职业教育综合改革试点。</w:t>
      </w:r>
    </w:p>
    <w:p w14:paraId="320B47A8">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lang w:eastAsia="zh-CN"/>
        </w:rPr>
      </w:pPr>
      <w:bookmarkStart w:id="110" w:name="_Toc433011415"/>
      <w:r>
        <w:rPr>
          <w:rFonts w:hint="eastAsia"/>
          <w:b/>
          <w:bCs/>
        </w:rPr>
        <w:t>（二）</w:t>
      </w:r>
      <w:r>
        <w:rPr>
          <w:rFonts w:hint="eastAsia"/>
          <w:b/>
          <w:bCs/>
          <w:lang w:eastAsia="zh-CN"/>
        </w:rPr>
        <w:t>增强</w:t>
      </w:r>
      <w:r>
        <w:rPr>
          <w:rFonts w:hint="eastAsia"/>
          <w:b/>
          <w:bCs/>
        </w:rPr>
        <w:t>院校办学活力</w:t>
      </w:r>
      <w:bookmarkEnd w:id="110"/>
    </w:p>
    <w:p w14:paraId="41A69F2C">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尊重和激发基层首创精神，以外部体制创新、内部机制改革、院校功能拓展为抓手增强院校办学活力，提高高等职业院校对市场的适应能力和自主发展能力。</w:t>
      </w:r>
    </w:p>
    <w:p w14:paraId="1D4C19C7">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rPr>
      </w:pPr>
      <w:bookmarkStart w:id="111" w:name="_Toc433011416"/>
      <w:r>
        <w:rPr>
          <w:rFonts w:hint="eastAsia"/>
          <w:b/>
          <w:bCs/>
          <w:lang w:eastAsia="zh-CN"/>
        </w:rPr>
        <w:t>1</w:t>
      </w:r>
      <w:r>
        <w:rPr>
          <w:rFonts w:hint="eastAsia"/>
          <w:b/>
          <w:bCs/>
        </w:rPr>
        <w:t>.</w:t>
      </w:r>
      <w:r>
        <w:rPr>
          <w:rFonts w:hint="eastAsia"/>
          <w:b/>
          <w:bCs/>
          <w:lang w:eastAsia="zh-CN"/>
        </w:rPr>
        <w:t xml:space="preserve"> </w:t>
      </w:r>
      <w:r>
        <w:rPr>
          <w:rFonts w:hint="eastAsia"/>
          <w:b/>
          <w:bCs/>
        </w:rPr>
        <w:t>推进分类考试招生</w:t>
      </w:r>
      <w:bookmarkEnd w:id="111"/>
    </w:p>
    <w:p w14:paraId="1C4E7D53">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健全“文化素质+职业技能”的考试招生办法。根据不同生源特点和培养需要，规范实施专科高等职业院校以高考为基础的考试招生、单独考试招生、综合评价招生、面向中职毕业生的技能考试招生、中高职贯通招生、技能拔尖人才免试招生。研究制订职业院校应届毕业生进入高层次学校学习的办法，拓宽和完善职业教育学生继续学习通道。逐步扩大高等职业院校招收有实践经历人员的比例。适度提高专科高等职业院校招收中等职业学校毕业生的比例和本科高等学校，特别是应用技术类型本科高校，招收职业院校毕业生的比例。</w:t>
      </w:r>
    </w:p>
    <w:p w14:paraId="0DF8EB09">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rPr>
      </w:pPr>
      <w:bookmarkStart w:id="112" w:name="_Toc433011417"/>
      <w:r>
        <w:rPr>
          <w:rFonts w:hint="eastAsia"/>
          <w:b/>
          <w:bCs/>
          <w:lang w:eastAsia="zh-CN"/>
        </w:rPr>
        <w:t>2</w:t>
      </w:r>
      <w:r>
        <w:rPr>
          <w:rFonts w:hint="eastAsia"/>
          <w:b/>
          <w:bCs/>
        </w:rPr>
        <w:t>.</w:t>
      </w:r>
      <w:r>
        <w:rPr>
          <w:rFonts w:hint="eastAsia"/>
          <w:b/>
          <w:bCs/>
          <w:lang w:eastAsia="zh-CN"/>
        </w:rPr>
        <w:t xml:space="preserve"> </w:t>
      </w:r>
      <w:r>
        <w:rPr>
          <w:rFonts w:hint="eastAsia"/>
          <w:b/>
          <w:bCs/>
        </w:rPr>
        <w:t>建立学分积累与转换制度</w:t>
      </w:r>
      <w:bookmarkEnd w:id="112"/>
    </w:p>
    <w:p w14:paraId="42202553">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推动专科高等职业院校逐步实行学分制，推进与学分制相配套的课程开发和教学管理制度改革，建立以学分为基本单位的学习成果认定积累制度；开展不同类型学习成果的积累、认定，建立全国统一的学习者终身学习成果档案（包含各类学历和非学历教育），设立学分银行；在坚持培养要求的基础上，探索普通本科高校、高等职业院校、成人高校、社区教育机构之间的学分转移与认定。</w:t>
      </w:r>
    </w:p>
    <w:p w14:paraId="4609CCA3">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lang w:eastAsia="zh-CN"/>
        </w:rPr>
      </w:pPr>
      <w:bookmarkStart w:id="113" w:name="_Toc433011418"/>
      <w:r>
        <w:rPr>
          <w:rFonts w:hint="eastAsia"/>
          <w:b/>
          <w:bCs/>
          <w:lang w:eastAsia="zh-CN"/>
        </w:rPr>
        <w:t>3</w:t>
      </w:r>
      <w:r>
        <w:rPr>
          <w:rFonts w:hint="eastAsia"/>
          <w:b/>
          <w:bCs/>
        </w:rPr>
        <w:t>.</w:t>
      </w:r>
      <w:r>
        <w:rPr>
          <w:rFonts w:hint="eastAsia"/>
          <w:b/>
          <w:bCs/>
          <w:lang w:eastAsia="zh-CN"/>
        </w:rPr>
        <w:t xml:space="preserve"> 探索混合所有制办学</w:t>
      </w:r>
      <w:bookmarkEnd w:id="113"/>
    </w:p>
    <w:p w14:paraId="121ED15F">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深化办学体制改革，鼓励社会力量以资本、知识、技术、管理等要素参与公办高等职业院校改革。试点社会力量通过政府购买服务、委托管理等方式参与办学活力不足的公办高等职业院校改革。鼓励民间资金与公办优质教育资源嫁接合作，在经济欠发达地区扩大优质高等职业教育资源。鼓励企业和公办高等职业院校合作举办适用公办学校政策、具有混合所有制特征的二级学院。鼓励专业技术人才、高技能人才在高等职业院校建设股份合作制工作室。支持成立混合所有制高等职业院校联盟。鼓励行业企业办和民办高等职业院校建立教师年金制度。支持营利性民办高等职业院校探索建立股权激励机制。</w:t>
      </w:r>
    </w:p>
    <w:p w14:paraId="20EE3D80">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rPr>
      </w:pPr>
      <w:bookmarkStart w:id="114" w:name="_Toc433011419"/>
      <w:r>
        <w:rPr>
          <w:rFonts w:hint="eastAsia"/>
          <w:b/>
          <w:bCs/>
          <w:lang w:eastAsia="zh-CN"/>
        </w:rPr>
        <w:t>4</w:t>
      </w:r>
      <w:r>
        <w:rPr>
          <w:rFonts w:hint="eastAsia"/>
          <w:b/>
          <w:bCs/>
        </w:rPr>
        <w:t>.</w:t>
      </w:r>
      <w:r>
        <w:rPr>
          <w:rFonts w:hint="eastAsia"/>
          <w:b/>
          <w:bCs/>
          <w:lang w:eastAsia="zh-CN"/>
        </w:rPr>
        <w:t xml:space="preserve"> </w:t>
      </w:r>
      <w:r>
        <w:rPr>
          <w:rFonts w:hint="eastAsia"/>
          <w:b/>
          <w:bCs/>
        </w:rPr>
        <w:t>鼓励行业参与职业教育</w:t>
      </w:r>
      <w:bookmarkEnd w:id="114"/>
    </w:p>
    <w:p w14:paraId="49781514">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健全与行业联合召开职业教育工作会议的机制，联合制定行业职业教育发展指导意见。支持行业根据发展需要举办高等职业教育，切实履行举办方责任。鼓励和支持行业加强对本系统、本行业高等职业院校的规划与指导；扶持行业加强指导能力建设；以购买服务方式支持行业职业教育教学指导委员会在规定的领域范围内自主开展工作，在指导专业和课程改革、协调师资队伍建设、推进校企合作、开展教学评价等方面发挥作用。推动建立行业人力资源需求预测、就业形势分析、专业预警定期发布制度。办好全国职业院校技能大赛。</w:t>
      </w:r>
    </w:p>
    <w:p w14:paraId="7E859F55">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rPr>
      </w:pPr>
      <w:bookmarkStart w:id="115" w:name="_Toc433011420"/>
      <w:r>
        <w:rPr>
          <w:rFonts w:hint="eastAsia"/>
          <w:b/>
          <w:bCs/>
          <w:lang w:eastAsia="zh-CN"/>
        </w:rPr>
        <w:t>5</w:t>
      </w:r>
      <w:r>
        <w:rPr>
          <w:rFonts w:hint="eastAsia"/>
          <w:b/>
          <w:bCs/>
        </w:rPr>
        <w:t>.</w:t>
      </w:r>
      <w:r>
        <w:rPr>
          <w:rFonts w:hint="eastAsia"/>
          <w:b/>
          <w:bCs/>
          <w:lang w:eastAsia="zh-CN"/>
        </w:rPr>
        <w:t xml:space="preserve"> </w:t>
      </w:r>
      <w:r>
        <w:rPr>
          <w:rFonts w:hint="eastAsia"/>
          <w:b/>
          <w:bCs/>
        </w:rPr>
        <w:t>发挥企业办学主体作用</w:t>
      </w:r>
      <w:bookmarkEnd w:id="115"/>
    </w:p>
    <w:p w14:paraId="36EFAE18">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支持企业发挥资源技术优势举办高等职业院校，按照职业教育规律规范管理。鼓励企业将</w:t>
      </w:r>
      <w:r>
        <w:rPr>
          <w:rFonts w:hint="eastAsia" w:ascii="仿宋_GB2312" w:hAnsi="仿宋_GB2312" w:eastAsia="仿宋_GB2312" w:cs="仿宋_GB2312"/>
          <w:sz w:val="30"/>
          <w:szCs w:val="30"/>
          <w:lang w:val="en-US" w:eastAsia="zh-CN"/>
        </w:rPr>
        <w:t>职工教育培训交由高等职业院校承担，鼓励企业与学校共建共管职工培训中心。支持企业建设兼具生产与教学功能的公共实训基地。规模以上企业设立专门机构（或人员）负责职工教育培训、对接高等职业院校，设立学生实习和教师实践岗位。支持地方各级政府在安排职业教育专项经费、制定支持政策、购买社会服务时，将企业举办的公办性质高等职业院校与其他公办院校同等对待。对企业因接收</w:t>
      </w:r>
      <w:r>
        <w:rPr>
          <w:rFonts w:hint="eastAsia" w:ascii="仿宋_GB2312" w:hAnsi="仿宋_GB2312" w:eastAsia="仿宋_GB2312" w:cs="仿宋_GB2312"/>
          <w:sz w:val="30"/>
          <w:szCs w:val="30"/>
        </w:rPr>
        <w:t>实习生所实际发生的与取得收入有关的合理支出，按现行税收法律规定在计算应纳税所得额时扣除。将企业开展职业教育的情况纳入企业社会责任报告。</w:t>
      </w:r>
      <w:r>
        <w:rPr>
          <w:rFonts w:hint="eastAsia" w:ascii="仿宋_GB2312" w:hAnsi="仿宋_GB2312" w:eastAsia="仿宋_GB2312" w:cs="仿宋_GB2312"/>
          <w:sz w:val="30"/>
          <w:szCs w:val="30"/>
          <w:lang w:val="en-US" w:eastAsia="zh-CN"/>
        </w:rPr>
        <w:t>研制职业教育校企合作促进办法。</w:t>
      </w:r>
    </w:p>
    <w:p w14:paraId="5AA33FD1">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lang w:eastAsia="zh-CN"/>
        </w:rPr>
      </w:pPr>
      <w:bookmarkStart w:id="116" w:name="_Toc433011421"/>
      <w:r>
        <w:rPr>
          <w:rFonts w:hint="eastAsia"/>
          <w:b/>
          <w:bCs/>
          <w:lang w:eastAsia="zh-CN"/>
        </w:rPr>
        <w:t>6</w:t>
      </w:r>
      <w:r>
        <w:rPr>
          <w:rFonts w:hint="eastAsia"/>
          <w:b/>
          <w:bCs/>
        </w:rPr>
        <w:t>.</w:t>
      </w:r>
      <w:r>
        <w:rPr>
          <w:rFonts w:hint="eastAsia"/>
          <w:b/>
          <w:bCs/>
          <w:lang w:eastAsia="zh-CN"/>
        </w:rPr>
        <w:t xml:space="preserve"> 落实高等职业院校办学自主权</w:t>
      </w:r>
      <w:bookmarkEnd w:id="116"/>
    </w:p>
    <w:p w14:paraId="4155FE83">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按照中央关于分类推进事业单位改革的精神，构建政府、高校、社会新型关系，加快转变政府职能，督促地（市、州）政府进一步明确管理高等职业教育的职责与权限，进一步明确高等职业院校的办学权利和义务，更好落实学校办学主体地位。简政放权，支持学校自主确定教学科研行政等内部组织机构的设置和人员配备，支持高校面向社会依法依规自主公开招聘教学科研行政管理等各类人员、自主选聘教职工、自主确定内部收入分配；放管结合，健全以章程为统领规范行使办学自主权的制度体系；优化服务，履行好政府保基本的兜底责任和监管职责。</w:t>
      </w:r>
    </w:p>
    <w:p w14:paraId="0CA41987">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lang w:eastAsia="zh-CN"/>
        </w:rPr>
      </w:pPr>
      <w:bookmarkStart w:id="117" w:name="_Toc433011422"/>
      <w:r>
        <w:rPr>
          <w:rFonts w:hint="eastAsia"/>
          <w:b/>
          <w:bCs/>
          <w:lang w:eastAsia="zh-CN"/>
        </w:rPr>
        <w:t>7</w:t>
      </w:r>
      <w:r>
        <w:rPr>
          <w:rFonts w:hint="eastAsia"/>
          <w:b/>
          <w:bCs/>
        </w:rPr>
        <w:t>.</w:t>
      </w:r>
      <w:r>
        <w:rPr>
          <w:rFonts w:hint="eastAsia"/>
          <w:b/>
          <w:bCs/>
          <w:lang w:eastAsia="zh-CN"/>
        </w:rPr>
        <w:t xml:space="preserve"> 支持民办教育发展</w:t>
      </w:r>
      <w:bookmarkEnd w:id="117"/>
    </w:p>
    <w:p w14:paraId="70851F57">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创新民办高等职业教育办学模式，社会声誉好、教学质量高、就业有保障的民办专科高等职业院校，可由省级政府统筹、在核定的办学规模内自主确定招生方案。落实教育、财税、土地、金融等支持政策，鼓励各类办学主体通过独资、合资、合作等形式举办民办高等职业教育，稳步扩大优质民办职业教育资源。以政府规划、社会贡献和办学质量为依据，探索政府通过“以奖代补”、购买服务等方式支持民办高等职业教育发展和鼓励社会力量参与高等职业教育办学的办法。</w:t>
      </w:r>
    </w:p>
    <w:p w14:paraId="7DE02B3E">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lang w:eastAsia="zh-CN"/>
        </w:rPr>
      </w:pPr>
      <w:bookmarkStart w:id="118" w:name="_Toc433011423"/>
      <w:r>
        <w:rPr>
          <w:rFonts w:hint="eastAsia"/>
          <w:b/>
          <w:bCs/>
          <w:lang w:eastAsia="zh-CN"/>
        </w:rPr>
        <w:t>8. 服务社区教育和终身学习</w:t>
      </w:r>
      <w:bookmarkEnd w:id="118"/>
    </w:p>
    <w:p w14:paraId="15F74E23">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专科高等职业院校要发挥场地、设施、师资、教学实训设备、网络及教育资源优势，向社区开放服务；面向社区成员开展与生活密切相关的职业技能培训，以及民主法治、文明礼仪、保健养生、生态文明等方面的教育活动。开设养生保健、文化艺术、信息技术、家政服务、社会工作、医疗护理、园艺花卉、传统工艺等专业的职业院校，应结合学校特色率先开展老年教育。与社区教育机构建立联席会议制度，为社区居民代表参与学校发展规划和社区教育服务计划提供平台，协调社区企事业单位为学生实习实训提供条件，开展校园周边环境综合治理。</w:t>
      </w:r>
    </w:p>
    <w:p w14:paraId="3A684A83">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学历教育和非学历培训并举、全日制与非全日制并重发展多样化的职工继续教育，为劳动者终身学习提供更多机会。以职业道德、职业发展、就业准备、创业指导等为主要内容开展就业创业教育，为普通教育学生提供职业发展辅导，为劳动者多渠道多形式提高就业质量服务。鼓励专科高等职业院校主动承接政府和企事业单位组织的职业</w:t>
      </w:r>
      <w:r>
        <w:rPr>
          <w:rFonts w:hint="eastAsia" w:ascii="仿宋_GB2312" w:hAnsi="仿宋_GB2312" w:eastAsia="仿宋_GB2312" w:cs="仿宋_GB2312"/>
          <w:sz w:val="30"/>
          <w:szCs w:val="30"/>
        </w:rPr>
        <w:t>培训，按照国家有关规定开展退役士兵职业教育培训。</w:t>
      </w:r>
    </w:p>
    <w:p w14:paraId="7DF4D2F7">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lang w:eastAsia="zh-CN"/>
        </w:rPr>
      </w:pPr>
      <w:bookmarkStart w:id="119" w:name="_Toc433011424"/>
      <w:r>
        <w:rPr>
          <w:rFonts w:hint="eastAsia"/>
          <w:b/>
          <w:bCs/>
        </w:rPr>
        <w:t>（三）</w:t>
      </w:r>
      <w:r>
        <w:rPr>
          <w:rFonts w:hint="eastAsia"/>
          <w:b/>
          <w:bCs/>
          <w:lang w:eastAsia="zh-CN"/>
        </w:rPr>
        <w:t>加强</w:t>
      </w:r>
      <w:r>
        <w:rPr>
          <w:rFonts w:hint="eastAsia"/>
          <w:b/>
          <w:bCs/>
        </w:rPr>
        <w:t>技术</w:t>
      </w:r>
      <w:r>
        <w:rPr>
          <w:rFonts w:hint="eastAsia"/>
          <w:b/>
          <w:bCs/>
          <w:lang w:eastAsia="zh-CN"/>
        </w:rPr>
        <w:t>技能积累</w:t>
      </w:r>
      <w:bookmarkEnd w:id="119"/>
    </w:p>
    <w:p w14:paraId="03313C68">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服务区域、产业发展和国家外交政策需要，紧密结合培养杰出人才和加强教师队伍建设，加强应用技术的传承应用研发能力，提高培养人才的水平和技术服务的附加值。</w:t>
      </w:r>
    </w:p>
    <w:p w14:paraId="61861E74">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lang w:eastAsia="zh-CN"/>
        </w:rPr>
      </w:pPr>
      <w:bookmarkStart w:id="120" w:name="_Toc433011425"/>
      <w:r>
        <w:rPr>
          <w:rFonts w:hint="eastAsia"/>
          <w:b/>
          <w:bCs/>
        </w:rPr>
        <w:t>1.</w:t>
      </w:r>
      <w:r>
        <w:rPr>
          <w:rFonts w:hint="eastAsia"/>
          <w:b/>
          <w:bCs/>
          <w:lang w:eastAsia="zh-CN"/>
        </w:rPr>
        <w:t xml:space="preserve"> </w:t>
      </w:r>
      <w:r>
        <w:rPr>
          <w:rFonts w:hint="eastAsia"/>
          <w:b/>
          <w:bCs/>
        </w:rPr>
        <w:t>服务</w:t>
      </w:r>
      <w:r>
        <w:rPr>
          <w:rFonts w:hint="eastAsia"/>
          <w:b/>
          <w:bCs/>
          <w:lang w:eastAsia="zh-CN"/>
        </w:rPr>
        <w:t>中国制造2025</w:t>
      </w:r>
      <w:bookmarkEnd w:id="120"/>
    </w:p>
    <w:p w14:paraId="5B142EAB">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根据区域发展规划和产业转型升级需要优化院校布局和专业结构，将专科高等职业院校建设成为区域内技术技能积累的重要资源集聚地。重点服务中国制造2025，主动适应数字化网络化智能化制造需要，围绕强化工业基础、提升产品质量、发展制造业相关的生产性服务业调整专业、培养人才。优先保证新一代信息技术产业、高档数控机床和机器人、航空航天装备、海洋工程装备及高技术船舶、先进轨道交通装备、节能与新能源汽车、电力装备、农机装备、新材料、生物医药及高性能医疗器械产业相关专业的布局与发展。加强现代服务业亟需人才培养，加快满足社会建设和社会管理人才需求。</w:t>
      </w:r>
      <w:bookmarkStart w:id="121" w:name="_Toc433011426"/>
    </w:p>
    <w:p w14:paraId="4D62A29A">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rPr>
      </w:pPr>
      <w:r>
        <w:rPr>
          <w:rFonts w:hint="eastAsia"/>
          <w:b/>
          <w:bCs/>
          <w:lang w:eastAsia="zh-CN"/>
        </w:rPr>
        <w:t>2</w:t>
      </w:r>
      <w:r>
        <w:rPr>
          <w:rFonts w:hint="eastAsia"/>
          <w:b/>
          <w:bCs/>
        </w:rPr>
        <w:t>.</w:t>
      </w:r>
      <w:r>
        <w:rPr>
          <w:rFonts w:hint="eastAsia"/>
          <w:b/>
          <w:bCs/>
          <w:lang w:eastAsia="zh-CN"/>
        </w:rPr>
        <w:t xml:space="preserve"> 支持优质产能</w:t>
      </w:r>
      <w:r>
        <w:rPr>
          <w:rFonts w:hint="eastAsia"/>
          <w:b/>
          <w:bCs/>
        </w:rPr>
        <w:t>“走出去”</w:t>
      </w:r>
      <w:bookmarkEnd w:id="121"/>
    </w:p>
    <w:p w14:paraId="240A9351">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配合国家“一带一路”战略，助力优质产能走出去，扩大与“一带一路”沿线国家的职业教育合作。主动发掘和服务“走出去”企业的需求，培养具有国际视野、通晓国际规则的技术技能人才和中国企业海外生产经营需要的本土人才。支持专科高等职业院校将国际先进工艺流程、产品标准、技术标准、服务标准、管理方法等引入教学内容；与积极拓展国际业务的大型企业联合办学，共建国际化人才培养基地；发挥专科高等职业院校专业优势，配合“走出去”企业面向当地员工开展技术技能培训和学历职业教育。</w:t>
      </w:r>
    </w:p>
    <w:p w14:paraId="201032EB">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rPr>
      </w:pPr>
      <w:bookmarkStart w:id="122" w:name="_Toc433011427"/>
      <w:r>
        <w:rPr>
          <w:rFonts w:hint="eastAsia"/>
          <w:b/>
          <w:bCs/>
          <w:lang w:eastAsia="zh-CN"/>
        </w:rPr>
        <w:t>3</w:t>
      </w:r>
      <w:r>
        <w:rPr>
          <w:rFonts w:hint="eastAsia"/>
          <w:b/>
          <w:bCs/>
        </w:rPr>
        <w:t>.</w:t>
      </w:r>
      <w:r>
        <w:rPr>
          <w:rFonts w:hint="eastAsia"/>
          <w:b/>
          <w:bCs/>
          <w:lang w:eastAsia="zh-CN"/>
        </w:rPr>
        <w:t xml:space="preserve"> 深化校企合作发展</w:t>
      </w:r>
      <w:bookmarkEnd w:id="122"/>
    </w:p>
    <w:p w14:paraId="78900C35">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推动专科高等职业院校与当地企业合作办学、合作育人、合作发展，鼓励校企共建以现代学徒制培养为主的特色学院；以市场为导向多方共建应用技术协同创新中心。对于师生拥有自主知识产权的技术开发、产品设计、发明创造等成果，选择自主创业的，按规定给予启动资金贷款贴息、税费减免等政策扶持；与企业合作转化的，可按照法律规定在企业作价入股。支持学校与技艺大师、非物质文化遗产传承人等合作建立技能大师工作室，开展技艺传承创新等活动。</w:t>
      </w:r>
    </w:p>
    <w:p w14:paraId="63EE1C9F">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lang w:eastAsia="zh-CN"/>
        </w:rPr>
      </w:pPr>
      <w:bookmarkStart w:id="123" w:name="_Toc433011428"/>
      <w:r>
        <w:rPr>
          <w:rFonts w:hint="eastAsia"/>
          <w:b/>
          <w:bCs/>
          <w:lang w:eastAsia="zh-CN"/>
        </w:rPr>
        <w:t>4</w:t>
      </w:r>
      <w:r>
        <w:rPr>
          <w:rFonts w:hint="eastAsia"/>
          <w:b/>
          <w:bCs/>
        </w:rPr>
        <w:t>.</w:t>
      </w:r>
      <w:r>
        <w:rPr>
          <w:rFonts w:hint="eastAsia"/>
          <w:b/>
          <w:bCs/>
          <w:lang w:eastAsia="zh-CN"/>
        </w:rPr>
        <w:t xml:space="preserve"> 加强创新创业教育</w:t>
      </w:r>
      <w:bookmarkEnd w:id="123"/>
    </w:p>
    <w:p w14:paraId="780EA81F">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将学生的创新意识培养和创新思维养成融入教育教学全过程，按照高质量创新创业教育的需要调配师资、改革教法、完善实践、因材施教，促进专业教育与创新创业教育有机融合；集聚创新创业教育要素与资源，建设依次递进、有机衔接、科学合理的创新创业教育专门课程（群）；充分利用各种资源建设大学科技园、大学生创业园、创业孵化基地和小微企业创业基地，作为创业教育实践平台；建立健全学生创业指导服务专门机构，做到“机构、人员、场地、经费”四到位，对自主创业学生实行持续帮扶、全程指导、一站式服务；举办全国大学生创新创业大赛，支持举办各类科技创新、创意设计、创业计划等专题竞赛。</w:t>
      </w:r>
    </w:p>
    <w:p w14:paraId="0AFDF593">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探索将学生完成的创新实验、论文发表、专利获取、自主创业等成果折算为学分，将学生参与课题研究、项目实验等活动认定为课堂学习；为有意愿有潜质的学生制定创新创业能力培养计划，建立创新创业档案和成绩单，客观记录并量化评价学生开展创新创业活动情况；优先支持参与创新创业的学生转入相关专业学习；实施弹性学制，放宽学生修业年限，允许调整学业进程、保留学籍休学创新创业。</w:t>
      </w:r>
    </w:p>
    <w:p w14:paraId="793515A1">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lang w:eastAsia="zh-CN"/>
        </w:rPr>
      </w:pPr>
      <w:bookmarkStart w:id="124" w:name="_Toc433011429"/>
      <w:r>
        <w:rPr>
          <w:rFonts w:hint="eastAsia"/>
          <w:b/>
          <w:bCs/>
          <w:lang w:eastAsia="zh-CN"/>
        </w:rPr>
        <w:t>5</w:t>
      </w:r>
      <w:r>
        <w:rPr>
          <w:rFonts w:hint="eastAsia"/>
          <w:b/>
          <w:bCs/>
        </w:rPr>
        <w:t>.</w:t>
      </w:r>
      <w:r>
        <w:rPr>
          <w:rFonts w:hint="eastAsia"/>
          <w:b/>
          <w:bCs/>
          <w:lang w:eastAsia="zh-CN"/>
        </w:rPr>
        <w:t xml:space="preserve"> </w:t>
      </w:r>
      <w:r>
        <w:rPr>
          <w:rFonts w:hint="eastAsia"/>
          <w:b/>
          <w:bCs/>
        </w:rPr>
        <w:t>开展现代学徒制</w:t>
      </w:r>
      <w:r>
        <w:rPr>
          <w:rFonts w:hint="eastAsia"/>
          <w:b/>
          <w:bCs/>
          <w:lang w:eastAsia="zh-CN"/>
        </w:rPr>
        <w:t>培养</w:t>
      </w:r>
      <w:bookmarkEnd w:id="124"/>
    </w:p>
    <w:p w14:paraId="48B2C7DC">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支持地方和行业引导、扶持企业与高等职业院校联合开展“现代学徒制”培养试点。校企共同制定和实施人才培养方案，试点学校主要负责理论课程教学、学生日常管理等工作，合作企业主要负责选派工程技术人员（能工巧匠）承担实践教学任务、组织实习实训；校企联合保障学生权益、保证合理报酬，按照国家有关规定落实学生责任保险和工伤保险。地方应允许符合条件的高等职业院校采用单独考试招生的办法从企业员工中招收符合本地高考报名条件的学生，使学生兼具企业员工身份；国家亟需专业经教育部同意可进行跨省招生试点。完善技术兵种与专科高等职业院校联合招收定向培养直招士官的组织方式和支持政策，支持技术兵种全程参与人才培养。</w:t>
      </w:r>
    </w:p>
    <w:p w14:paraId="2D7ADE84">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rPr>
      </w:pPr>
      <w:bookmarkStart w:id="125" w:name="_Toc433011430"/>
      <w:r>
        <w:rPr>
          <w:rFonts w:hint="eastAsia"/>
          <w:b/>
          <w:bCs/>
          <w:lang w:eastAsia="zh-CN"/>
        </w:rPr>
        <w:t>6</w:t>
      </w:r>
      <w:r>
        <w:rPr>
          <w:rFonts w:hint="eastAsia"/>
          <w:b/>
          <w:bCs/>
        </w:rPr>
        <w:t>.</w:t>
      </w:r>
      <w:r>
        <w:rPr>
          <w:rFonts w:hint="eastAsia"/>
          <w:b/>
          <w:bCs/>
          <w:lang w:eastAsia="zh-CN"/>
        </w:rPr>
        <w:t xml:space="preserve"> </w:t>
      </w:r>
      <w:r>
        <w:rPr>
          <w:rFonts w:hint="eastAsia"/>
          <w:b/>
          <w:bCs/>
        </w:rPr>
        <w:t>培</w:t>
      </w:r>
      <w:r>
        <w:rPr>
          <w:rFonts w:hint="eastAsia"/>
          <w:b/>
          <w:bCs/>
          <w:lang w:eastAsia="zh-CN"/>
        </w:rPr>
        <w:t>育</w:t>
      </w:r>
      <w:r>
        <w:rPr>
          <w:rFonts w:hint="eastAsia"/>
          <w:b/>
          <w:bCs/>
        </w:rPr>
        <w:t>新型职业农民</w:t>
      </w:r>
      <w:bookmarkEnd w:id="125"/>
    </w:p>
    <w:p w14:paraId="69A01B96">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建立公益性农民培养培训制度，扶持涉农专科高等职业院校的发展和专业建设。提高涉农专科高等职业院校为三农服务的能力，围绕农业产业链和流通链培养培训适应科技进步和农业产业化需要的学生和新型职业农民，创新招生就业、人才培养、农学结合、校企合作、顶岗实习、社会服务等工作机制，推进农科教统筹、产学研合作；支持高等职业院校与涉农企业共建农业职业教育集团；构建覆盖全国、服务完善的现代职业农民教育网络。推进城乡区域合作，引导各地将项目、资金、设备、人才向涉农专科高等职业院校倾斜，动员相关行业、企业、高等学校、科研院所等参与专业建设，特别加大对农业、水利、林业、粮食和供销等涉农行业职业教育的支持力度。</w:t>
      </w:r>
    </w:p>
    <w:p w14:paraId="745B7F31">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rPr>
      </w:pPr>
      <w:bookmarkStart w:id="126" w:name="_Toc433011431"/>
      <w:r>
        <w:rPr>
          <w:rFonts w:hint="eastAsia"/>
          <w:b/>
          <w:bCs/>
          <w:lang w:eastAsia="zh-CN"/>
        </w:rPr>
        <w:t>7</w:t>
      </w:r>
      <w:r>
        <w:rPr>
          <w:rFonts w:hint="eastAsia"/>
          <w:b/>
          <w:bCs/>
        </w:rPr>
        <w:t>.</w:t>
      </w:r>
      <w:r>
        <w:rPr>
          <w:rFonts w:hint="eastAsia"/>
          <w:b/>
          <w:bCs/>
          <w:lang w:eastAsia="zh-CN"/>
        </w:rPr>
        <w:t xml:space="preserve"> </w:t>
      </w:r>
      <w:r>
        <w:rPr>
          <w:rFonts w:hint="eastAsia"/>
          <w:b/>
          <w:bCs/>
        </w:rPr>
        <w:t>促进文化传承创新与传播</w:t>
      </w:r>
      <w:bookmarkEnd w:id="126"/>
    </w:p>
    <w:p w14:paraId="300BA382">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深化文化艺术类职业教育改革，重点培养文化创意人才、基层文化人才，传承创新民族文化</w:t>
      </w:r>
      <w:r>
        <w:rPr>
          <w:rFonts w:hint="eastAsia" w:ascii="仿宋_GB2312" w:hAnsi="仿宋_GB2312" w:eastAsia="仿宋_GB2312" w:cs="仿宋_GB2312"/>
          <w:sz w:val="30"/>
          <w:szCs w:val="30"/>
          <w:lang w:eastAsia="zh-CN"/>
        </w:rPr>
        <w:t>与</w:t>
      </w:r>
      <w:r>
        <w:rPr>
          <w:rFonts w:hint="eastAsia" w:ascii="仿宋_GB2312" w:hAnsi="仿宋_GB2312" w:eastAsia="仿宋_GB2312" w:cs="仿宋_GB2312"/>
          <w:sz w:val="30"/>
          <w:szCs w:val="30"/>
        </w:rPr>
        <w:t>工艺。加强文化创意、影视制作、出版发行等重点文化产业技术技能人才的培养；依托职业教育体系</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保护、传承和创新民族传统工艺与非物质文化遗产，培养各民族文艺人才。支持高等职业院校加强民族文化和民间技艺相关专业的建设和人才培养。提升</w:t>
      </w:r>
      <w:r>
        <w:rPr>
          <w:rFonts w:hint="eastAsia" w:ascii="仿宋_GB2312" w:hAnsi="仿宋_GB2312" w:eastAsia="仿宋_GB2312" w:cs="仿宋_GB2312"/>
          <w:sz w:val="30"/>
          <w:szCs w:val="30"/>
          <w:lang w:eastAsia="zh-CN"/>
        </w:rPr>
        <w:t>民族地区的高等职业院校支持</w:t>
      </w:r>
      <w:r>
        <w:rPr>
          <w:rFonts w:hint="eastAsia" w:ascii="仿宋_GB2312" w:hAnsi="仿宋_GB2312" w:eastAsia="仿宋_GB2312" w:cs="仿宋_GB2312"/>
          <w:sz w:val="30"/>
          <w:szCs w:val="30"/>
        </w:rPr>
        <w:t>当地特色优势产业、基本公共服务、社会管理的能力。</w:t>
      </w:r>
    </w:p>
    <w:p w14:paraId="4008E0BB">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lang w:eastAsia="zh-CN"/>
        </w:rPr>
      </w:pPr>
      <w:bookmarkStart w:id="127" w:name="_Toc433011432"/>
      <w:r>
        <w:rPr>
          <w:rFonts w:hint="eastAsia"/>
          <w:b/>
          <w:bCs/>
          <w:lang w:eastAsia="zh-CN"/>
        </w:rPr>
        <w:t>8</w:t>
      </w:r>
      <w:r>
        <w:rPr>
          <w:rFonts w:hint="eastAsia"/>
          <w:b/>
          <w:bCs/>
        </w:rPr>
        <w:t>.</w:t>
      </w:r>
      <w:r>
        <w:rPr>
          <w:rFonts w:hint="eastAsia"/>
          <w:b/>
          <w:bCs/>
          <w:lang w:eastAsia="zh-CN"/>
        </w:rPr>
        <w:t xml:space="preserve"> </w:t>
      </w:r>
      <w:r>
        <w:rPr>
          <w:rFonts w:hint="eastAsia"/>
          <w:b/>
          <w:bCs/>
        </w:rPr>
        <w:t>扩大职业教育国际影响</w:t>
      </w:r>
      <w:bookmarkEnd w:id="127"/>
    </w:p>
    <w:p w14:paraId="70D8D0B4">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广泛参与国际职业教育合作与发展。加强与职业教育发达国家的政策对话，探索对发展中国家开展职业教育援助的渠道和政策。积极参与职业教育国际标准与规则的研究制定，开发与之对应的专业标准和课程体系，扩大国际话语权、增强国家软实力。提高高等职业院校专业教师的外语交流能力，鼓励示范性和沿边地区高等职业院校利用学校品牌和专业优势吸引境外学生来华学习，并不断扩大规模；支持专科高等职业院校到国（境）外办学，为周边国家培养熟悉中华传统文化、当地经济发展亟需的技术技能人才。推进全国职业院校技能大赛国际化。</w:t>
      </w:r>
    </w:p>
    <w:p w14:paraId="215C232C">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lang w:eastAsia="zh-CN"/>
        </w:rPr>
      </w:pPr>
      <w:bookmarkStart w:id="128" w:name="_Toc433011433"/>
      <w:r>
        <w:rPr>
          <w:rFonts w:hint="eastAsia"/>
          <w:b/>
          <w:bCs/>
        </w:rPr>
        <w:t>（四）完善质量保</w:t>
      </w:r>
      <w:r>
        <w:rPr>
          <w:rFonts w:hint="eastAsia"/>
          <w:b/>
          <w:bCs/>
          <w:lang w:eastAsia="zh-CN"/>
        </w:rPr>
        <w:t>障</w:t>
      </w:r>
      <w:r>
        <w:rPr>
          <w:rFonts w:hint="eastAsia"/>
          <w:b/>
          <w:bCs/>
        </w:rPr>
        <w:t>机制</w:t>
      </w:r>
      <w:bookmarkEnd w:id="128"/>
    </w:p>
    <w:p w14:paraId="3BB48627">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落实各级政府责任，放管结合完善依法治校，逐步形成政府依法履职、院校自主保证、社会广泛参与，教育内部保证与教育外部评</w:t>
      </w:r>
      <w:r>
        <w:rPr>
          <w:rFonts w:hint="eastAsia" w:ascii="仿宋_GB2312" w:hAnsi="仿宋_GB2312" w:eastAsia="仿宋_GB2312" w:cs="仿宋_GB2312"/>
          <w:sz w:val="30"/>
          <w:szCs w:val="30"/>
          <w:lang w:eastAsia="zh-CN"/>
        </w:rPr>
        <w:t>价</w:t>
      </w:r>
      <w:r>
        <w:rPr>
          <w:rFonts w:hint="eastAsia" w:ascii="仿宋_GB2312" w:hAnsi="仿宋_GB2312" w:eastAsia="仿宋_GB2312" w:cs="仿宋_GB2312"/>
          <w:sz w:val="30"/>
          <w:szCs w:val="30"/>
        </w:rPr>
        <w:t>协调配</w:t>
      </w:r>
      <w:r>
        <w:rPr>
          <w:rFonts w:hint="eastAsia" w:ascii="仿宋_GB2312" w:hAnsi="仿宋_GB2312" w:eastAsia="仿宋_GB2312" w:cs="仿宋_GB2312"/>
          <w:sz w:val="30"/>
          <w:szCs w:val="30"/>
          <w:lang w:eastAsia="zh-CN"/>
        </w:rPr>
        <w:t>套</w:t>
      </w:r>
      <w:r>
        <w:rPr>
          <w:rFonts w:hint="eastAsia" w:ascii="仿宋_GB2312" w:hAnsi="仿宋_GB2312" w:eastAsia="仿宋_GB2312" w:cs="仿宋_GB2312"/>
          <w:sz w:val="30"/>
          <w:szCs w:val="30"/>
        </w:rPr>
        <w:t>的现代职业教育质量保障机制。</w:t>
      </w:r>
    </w:p>
    <w:p w14:paraId="2AF60FB6">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rPr>
      </w:pPr>
      <w:bookmarkStart w:id="129" w:name="_Toc433011434"/>
      <w:r>
        <w:rPr>
          <w:rFonts w:hint="eastAsia"/>
          <w:b/>
          <w:bCs/>
          <w:lang w:eastAsia="zh-CN"/>
        </w:rPr>
        <w:t>1</w:t>
      </w:r>
      <w:r>
        <w:rPr>
          <w:rFonts w:hint="eastAsia"/>
          <w:b/>
          <w:bCs/>
        </w:rPr>
        <w:t>.</w:t>
      </w:r>
      <w:r>
        <w:rPr>
          <w:rFonts w:hint="eastAsia"/>
          <w:b/>
          <w:bCs/>
          <w:lang w:eastAsia="zh-CN"/>
        </w:rPr>
        <w:t xml:space="preserve"> </w:t>
      </w:r>
      <w:r>
        <w:rPr>
          <w:rFonts w:hint="eastAsia"/>
          <w:b/>
          <w:bCs/>
        </w:rPr>
        <w:t>提高经费保障水平</w:t>
      </w:r>
      <w:bookmarkEnd w:id="129"/>
    </w:p>
    <w:p w14:paraId="0C0BEF3D">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落实生均拨款政策，建立多渠道筹资机制，提高经费保障水平。</w:t>
      </w:r>
      <w:r>
        <w:rPr>
          <w:rFonts w:hint="eastAsia" w:ascii="仿宋_GB2312" w:hAnsi="仿宋_GB2312" w:eastAsia="仿宋_GB2312" w:cs="仿宋_GB2312"/>
          <w:sz w:val="30"/>
          <w:szCs w:val="30"/>
          <w:lang w:eastAsia="zh-CN"/>
        </w:rPr>
        <w:t>各地应</w:t>
      </w:r>
      <w:r>
        <w:rPr>
          <w:rFonts w:hint="eastAsia" w:ascii="仿宋_GB2312" w:hAnsi="仿宋_GB2312" w:eastAsia="仿宋_GB2312" w:cs="仿宋_GB2312"/>
          <w:sz w:val="30"/>
          <w:szCs w:val="30"/>
        </w:rPr>
        <w:t>引导激励行政区域内各地市</w:t>
      </w:r>
      <w:r>
        <w:rPr>
          <w:rFonts w:hint="eastAsia" w:ascii="仿宋_GB2312" w:hAnsi="仿宋_GB2312" w:eastAsia="仿宋_GB2312" w:cs="仿宋_GB2312"/>
          <w:sz w:val="30"/>
          <w:szCs w:val="30"/>
          <w:lang w:eastAsia="zh-CN"/>
        </w:rPr>
        <w:t>级政府</w:t>
      </w:r>
      <w:r>
        <w:rPr>
          <w:rFonts w:hint="eastAsia" w:ascii="仿宋_GB2312" w:hAnsi="仿宋_GB2312" w:eastAsia="仿宋_GB2312" w:cs="仿宋_GB2312"/>
          <w:sz w:val="30"/>
          <w:szCs w:val="30"/>
        </w:rPr>
        <w:t>（单位）建立完善以改革和绩效为导向的专科高等职业院校生均拨款制度，</w:t>
      </w:r>
      <w:r>
        <w:rPr>
          <w:rFonts w:hint="eastAsia" w:ascii="仿宋_GB2312" w:hAnsi="仿宋_GB2312" w:eastAsia="仿宋_GB2312" w:cs="仿宋_GB2312"/>
          <w:sz w:val="30"/>
          <w:szCs w:val="30"/>
          <w:lang w:eastAsia="zh-CN"/>
        </w:rPr>
        <w:t>保证</w:t>
      </w:r>
      <w:r>
        <w:rPr>
          <w:rFonts w:hint="eastAsia" w:ascii="仿宋_GB2312" w:hAnsi="仿宋_GB2312" w:eastAsia="仿宋_GB2312" w:cs="仿宋_GB2312"/>
          <w:sz w:val="30"/>
          <w:szCs w:val="30"/>
        </w:rPr>
        <w:t>学校正常运转、保障基本教学条件、提升内涵建设水平、支撑</w:t>
      </w:r>
      <w:r>
        <w:rPr>
          <w:rFonts w:hint="eastAsia" w:ascii="仿宋_GB2312" w:hAnsi="仿宋_GB2312" w:eastAsia="仿宋_GB2312" w:cs="仿宋_GB2312"/>
          <w:sz w:val="30"/>
          <w:szCs w:val="30"/>
          <w:lang w:eastAsia="zh-CN"/>
        </w:rPr>
        <w:t>院校综合改革</w:t>
      </w:r>
      <w:r>
        <w:rPr>
          <w:rFonts w:hint="eastAsia" w:ascii="仿宋_GB2312" w:hAnsi="仿宋_GB2312" w:eastAsia="仿宋_GB2312" w:cs="仿宋_GB2312"/>
          <w:sz w:val="30"/>
          <w:szCs w:val="30"/>
        </w:rPr>
        <w:t>。生均拨款制度应当覆盖本地区所有独立设置的公办高等职业院校；举办高等职业院校的有关部门和单位，应当参照院校所在地公办高等职业院校的生均拨款标准，建立完善所属高等职业院校生均拨款制度。2017年，</w:t>
      </w:r>
      <w:r>
        <w:rPr>
          <w:rFonts w:hint="eastAsia" w:ascii="仿宋_GB2312" w:hAnsi="仿宋_GB2312" w:eastAsia="仿宋_GB2312" w:cs="仿宋_GB2312"/>
          <w:sz w:val="30"/>
          <w:szCs w:val="30"/>
          <w:lang w:eastAsia="zh-CN"/>
        </w:rPr>
        <w:t>本省</w:t>
      </w:r>
      <w:r>
        <w:rPr>
          <w:rFonts w:hint="eastAsia" w:ascii="仿宋_GB2312" w:hAnsi="仿宋_GB2312" w:eastAsia="仿宋_GB2312" w:cs="仿宋_GB2312"/>
          <w:sz w:val="30"/>
          <w:szCs w:val="30"/>
        </w:rPr>
        <w:t>专科高等职业院校年生均财政拨款</w:t>
      </w:r>
      <w:r>
        <w:rPr>
          <w:rFonts w:hint="eastAsia" w:ascii="仿宋_GB2312" w:hAnsi="仿宋_GB2312" w:eastAsia="仿宋_GB2312" w:cs="仿宋_GB2312"/>
          <w:sz w:val="30"/>
          <w:szCs w:val="30"/>
          <w:lang w:eastAsia="zh-CN"/>
        </w:rPr>
        <w:t>平均</w:t>
      </w:r>
      <w:r>
        <w:rPr>
          <w:rFonts w:hint="eastAsia" w:ascii="仿宋_GB2312" w:hAnsi="仿宋_GB2312" w:eastAsia="仿宋_GB2312" w:cs="仿宋_GB2312"/>
          <w:sz w:val="30"/>
          <w:szCs w:val="30"/>
        </w:rPr>
        <w:t>水平不低于12000元。学费收入优先保证学校基本教学方面的支出。</w:t>
      </w:r>
    </w:p>
    <w:p w14:paraId="5C025BFD">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rPr>
      </w:pPr>
      <w:bookmarkStart w:id="130" w:name="_Toc433011435"/>
      <w:r>
        <w:rPr>
          <w:rFonts w:hint="eastAsia"/>
          <w:b/>
          <w:bCs/>
          <w:lang w:eastAsia="zh-CN"/>
        </w:rPr>
        <w:t>2</w:t>
      </w:r>
      <w:r>
        <w:rPr>
          <w:rFonts w:hint="eastAsia"/>
          <w:b/>
          <w:bCs/>
        </w:rPr>
        <w:t>.</w:t>
      </w:r>
      <w:r>
        <w:rPr>
          <w:rFonts w:hint="eastAsia"/>
          <w:b/>
          <w:bCs/>
          <w:lang w:eastAsia="zh-CN"/>
        </w:rPr>
        <w:t xml:space="preserve"> </w:t>
      </w:r>
      <w:r>
        <w:rPr>
          <w:rFonts w:hint="eastAsia"/>
          <w:b/>
          <w:bCs/>
        </w:rPr>
        <w:t>完善院校治理结构</w:t>
      </w:r>
      <w:bookmarkEnd w:id="130"/>
    </w:p>
    <w:p w14:paraId="5AC34844">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落实《高等学校章程制定暂行办法》，建立健全依法自主管理、民主监督、社会参与的高等职业院校治理结构。完成高等职业院校章程制定、修订工作。坚持和完善公办高等职业院校党委领导下的校长负责制，提升学校的资源整合、科学决策和战略规划能力，开展校长公开选拔聘任试点。推动高等职业院校设立有办学相关方代表参加的理事会或董事会机构，发挥咨询、协商、审议与监督作用。设立校级学术委员会，作为校内最高学术机构，统筹行使学术事务的决策、审议、评定和咨询等职权，发挥在专业建设、学术评价、学术发展和学风建设等事项上的重要作用。结合实际需要，根据条件设立校级专业指导委员会，指导促进专业建设与教学改革。加强风险安全制度建设。</w:t>
      </w:r>
    </w:p>
    <w:p w14:paraId="035EEA5A">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rPr>
      </w:pPr>
      <w:bookmarkStart w:id="131" w:name="_Toc433011436"/>
      <w:r>
        <w:rPr>
          <w:rFonts w:hint="eastAsia"/>
          <w:b/>
          <w:bCs/>
          <w:lang w:eastAsia="zh-CN"/>
        </w:rPr>
        <w:t>3</w:t>
      </w:r>
      <w:r>
        <w:rPr>
          <w:rFonts w:hint="eastAsia"/>
          <w:b/>
          <w:bCs/>
        </w:rPr>
        <w:t>.</w:t>
      </w:r>
      <w:r>
        <w:rPr>
          <w:rFonts w:hint="eastAsia"/>
          <w:b/>
          <w:bCs/>
          <w:lang w:eastAsia="zh-CN"/>
        </w:rPr>
        <w:t xml:space="preserve"> </w:t>
      </w:r>
      <w:r>
        <w:rPr>
          <w:rFonts w:hint="eastAsia"/>
          <w:b/>
          <w:bCs/>
        </w:rPr>
        <w:t>完善质量年报制度</w:t>
      </w:r>
      <w:bookmarkEnd w:id="131"/>
    </w:p>
    <w:p w14:paraId="4FC04A8B">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巩固学校、省和国家三级高等职业教育质量年度报告制度，进一步提高年度质量报告的量化程度、可比性和可读性。专科高等职业院校和省级教育行政部门每年发布质量报告；支持第三方撰写发布国家高等职业教育质量年度报告；强化对报告发布情况和撰写质量的监督管理。稳步推进高等职业院校人才培养工作状态数据管理系统的建设、部署与应用，逐步加强状态数据在宏观管理、行政决策、院校治理、教学改革、年度报告中的基础性作用。</w:t>
      </w:r>
    </w:p>
    <w:p w14:paraId="7EBF1D45">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lang w:eastAsia="zh-CN"/>
        </w:rPr>
      </w:pPr>
      <w:bookmarkStart w:id="132" w:name="_Toc433011437"/>
      <w:r>
        <w:rPr>
          <w:rFonts w:hint="eastAsia"/>
          <w:b/>
          <w:bCs/>
          <w:lang w:eastAsia="zh-CN"/>
        </w:rPr>
        <w:t>4. 建立诊断改进机制</w:t>
      </w:r>
      <w:bookmarkEnd w:id="132"/>
    </w:p>
    <w:p w14:paraId="0A5B2BF3">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以高等职业院校人才培养工作状态数据为基础，开展教学诊断和改进（以下简称诊改）工作。加强分类指导，保证新建高等职业院校基本办学质量，推动高等职业院校全面建立完善内部质量保证体系，支持优质高等职业院校实现更高水平发展。教育部牵头研制高等职业院校教学工作诊改指导方案，针对高等职业院校不同发展阶段特点确定诊改重点，供地方和院校参照施行；省级教育行政部门负责统筹推进行政区域内高等职业院校诊改工作，根据需要抽样复核诊改工作质量；院校举办方协同高等职业院校自主诊断、切实改进。</w:t>
      </w:r>
    </w:p>
    <w:p w14:paraId="08AD5A86">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支持对用人单位影响力大的行业组织开展专业层面的教学诊改试点，以行业企业用人标准为依据，通过结果评价、结论排名、建议反馈的形式，倒逼职业院校的专业改革与建设，职业院校自愿参加。专业诊改方案由相关行业制订、教育部认可后实施。</w:t>
      </w:r>
    </w:p>
    <w:p w14:paraId="5AC62EEB">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lang w:eastAsia="zh-CN"/>
        </w:rPr>
      </w:pPr>
      <w:bookmarkStart w:id="133" w:name="_Toc433011438"/>
      <w:r>
        <w:rPr>
          <w:rFonts w:hint="eastAsia"/>
          <w:b/>
          <w:bCs/>
          <w:lang w:eastAsia="zh-CN"/>
        </w:rPr>
        <w:t>5</w:t>
      </w:r>
      <w:r>
        <w:rPr>
          <w:rFonts w:hint="eastAsia"/>
          <w:b/>
          <w:bCs/>
        </w:rPr>
        <w:t>.</w:t>
      </w:r>
      <w:r>
        <w:rPr>
          <w:rFonts w:hint="eastAsia"/>
          <w:b/>
          <w:bCs/>
          <w:lang w:eastAsia="zh-CN"/>
        </w:rPr>
        <w:t xml:space="preserve"> 改进高职</w:t>
      </w:r>
      <w:r>
        <w:rPr>
          <w:rFonts w:hint="eastAsia"/>
          <w:b/>
          <w:bCs/>
        </w:rPr>
        <w:t>教师</w:t>
      </w:r>
      <w:r>
        <w:rPr>
          <w:rFonts w:hint="eastAsia"/>
          <w:b/>
          <w:bCs/>
          <w:lang w:eastAsia="zh-CN"/>
        </w:rPr>
        <w:t>管理</w:t>
      </w:r>
      <w:bookmarkEnd w:id="133"/>
    </w:p>
    <w:p w14:paraId="43D3B518">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完善教师专业技术职务（职称）评聘办法，将师德表现、教学水平、应用技术研发成果与社会服务成效等作为高等职业院校教师专业技术职务（职称）评聘和工作绩效考核的重要内容，有条件的地方可以实行单独评审。鼓励高等职业院校制定和执行反映自身发展水平的“双师型”教师标准（不低于2008年《高等职业院校人才培养工作评估方案》规定的标准）。根据职业教育特点、比照本科高等学校核定公办专科高等职业院校教职工编制；新增教师编制主要用于引进具有实践经验的专业教师。推动教师分类管理、分类评价的人事管理制度改革；全面推行按岗聘用、竞聘上岗；制订体现高等职业教育特点的教师绩效评价标准，绩效工资内部分配向“双师型”教师适当倾斜。原则上55岁以下的教授、副教授每学期至少讲授一门课程。</w:t>
      </w:r>
    </w:p>
    <w:p w14:paraId="7BE90BD0">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rPr>
      </w:pPr>
      <w:bookmarkStart w:id="134" w:name="_Toc433011439"/>
      <w:r>
        <w:rPr>
          <w:rFonts w:hint="eastAsia"/>
          <w:b/>
          <w:bCs/>
          <w:lang w:eastAsia="zh-CN"/>
        </w:rPr>
        <w:t>6</w:t>
      </w:r>
      <w:r>
        <w:rPr>
          <w:rFonts w:hint="eastAsia"/>
          <w:b/>
          <w:bCs/>
        </w:rPr>
        <w:t>.</w:t>
      </w:r>
      <w:r>
        <w:rPr>
          <w:rFonts w:hint="eastAsia"/>
          <w:b/>
          <w:bCs/>
          <w:lang w:eastAsia="zh-CN"/>
        </w:rPr>
        <w:t xml:space="preserve"> </w:t>
      </w:r>
      <w:r>
        <w:rPr>
          <w:rFonts w:hint="eastAsia"/>
          <w:b/>
          <w:bCs/>
        </w:rPr>
        <w:t>加强相关理论研究</w:t>
      </w:r>
      <w:bookmarkEnd w:id="134"/>
    </w:p>
    <w:p w14:paraId="024C120E">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加强国家级、省级、市（地）级职业教育科研机构建设，加强高等职业教育改革发展的宏观政策研究和热点难点问题研究，开展指导教育教学改革和相关标准建设的理论研究。各地应统筹高等职业教育研究工作，加强高等职业教育研究机构和队伍建设，加大投入支持相关研究工作。鼓励有条件的高等职业院校建立专门教育研究机构，发挥学校人才、信息、资源聚集的优势，引导广大教师围绕专业建设、课程改革、实践教学、终身学习等方面开展教学研究。</w:t>
      </w:r>
    </w:p>
    <w:p w14:paraId="3DD9C917">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lang w:eastAsia="zh-CN"/>
        </w:rPr>
      </w:pPr>
      <w:bookmarkStart w:id="135" w:name="_Toc433011440"/>
      <w:r>
        <w:rPr>
          <w:rFonts w:hint="eastAsia"/>
          <w:b/>
          <w:bCs/>
        </w:rPr>
        <w:t>（</w:t>
      </w:r>
      <w:bookmarkStart w:id="136" w:name="_Toc409764075"/>
      <w:r>
        <w:rPr>
          <w:rFonts w:hint="eastAsia"/>
          <w:b/>
          <w:bCs/>
          <w:lang w:eastAsia="zh-CN"/>
        </w:rPr>
        <w:t>五</w:t>
      </w:r>
      <w:r>
        <w:rPr>
          <w:rFonts w:hint="eastAsia"/>
          <w:b/>
          <w:bCs/>
        </w:rPr>
        <w:t>）</w:t>
      </w:r>
      <w:bookmarkEnd w:id="136"/>
      <w:r>
        <w:rPr>
          <w:rFonts w:hint="eastAsia"/>
          <w:b/>
          <w:bCs/>
        </w:rPr>
        <w:t>提升思想政治教育质量</w:t>
      </w:r>
      <w:bookmarkEnd w:id="135"/>
    </w:p>
    <w:p w14:paraId="53E35A90">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加强以职业道德培养和职业素质养成为特点的高等职业教育学生思想政治教育工作，着力培养既掌握熟练技术，又坚守职业精神的技术技能人才。</w:t>
      </w:r>
    </w:p>
    <w:p w14:paraId="76430994">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lang w:eastAsia="zh-CN"/>
        </w:rPr>
      </w:pPr>
      <w:bookmarkStart w:id="137" w:name="_Toc409764076"/>
      <w:bookmarkStart w:id="138" w:name="_Toc433011441"/>
      <w:r>
        <w:rPr>
          <w:rFonts w:hint="eastAsia"/>
          <w:b/>
          <w:bCs/>
          <w:lang w:eastAsia="zh-CN"/>
        </w:rPr>
        <w:t>1</w:t>
      </w:r>
      <w:r>
        <w:rPr>
          <w:rFonts w:hint="eastAsia"/>
          <w:b/>
          <w:bCs/>
        </w:rPr>
        <w:t>.</w:t>
      </w:r>
      <w:r>
        <w:rPr>
          <w:rFonts w:hint="eastAsia"/>
          <w:b/>
          <w:bCs/>
          <w:lang w:eastAsia="zh-CN"/>
        </w:rPr>
        <w:t xml:space="preserve"> 加强和改进</w:t>
      </w:r>
      <w:r>
        <w:rPr>
          <w:rFonts w:hint="eastAsia"/>
          <w:b/>
          <w:bCs/>
        </w:rPr>
        <w:t>学生思想政治</w:t>
      </w:r>
      <w:bookmarkEnd w:id="137"/>
      <w:r>
        <w:rPr>
          <w:rFonts w:hint="eastAsia"/>
          <w:b/>
          <w:bCs/>
          <w:lang w:eastAsia="zh-CN"/>
        </w:rPr>
        <w:t>教育工作</w:t>
      </w:r>
      <w:bookmarkEnd w:id="138"/>
    </w:p>
    <w:p w14:paraId="4F7A61EA">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深入开展中国特色社会主义和中国梦教育，在广大师生中积极培育和践行社会主义核心价值观，引导大学生关心国家命运，自觉把个人理想与国家梦想、个人价值与国家发展结合起来。规范形势与政策教育教学，加强民族团结教育，加强中华优秀传统文化教育，深入开展“我的中国梦”主题教育活动，推进学雷锋活动常态化。健全学生思想政治教育长效机制，创新网络思想政治教育方式方法。提高高校思想政治理论课实效，推进辅导员队伍专业化、职业化建设，扶持学生优秀社会实践活动，加强心理健康教育与咨询机构建设，全面推进《全国大学生思想政治教育质量测评体系（试行）》。创建平安校园、和谐校园。</w:t>
      </w:r>
    </w:p>
    <w:p w14:paraId="7D1B7896">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rPr>
      </w:pPr>
      <w:bookmarkStart w:id="139" w:name="_Toc433011442"/>
      <w:bookmarkStart w:id="140" w:name="_Toc409764077"/>
      <w:r>
        <w:rPr>
          <w:rFonts w:hint="eastAsia"/>
          <w:b/>
          <w:bCs/>
          <w:lang w:eastAsia="zh-CN"/>
        </w:rPr>
        <w:t xml:space="preserve">2. </w:t>
      </w:r>
      <w:r>
        <w:rPr>
          <w:rFonts w:hint="eastAsia"/>
          <w:b/>
          <w:bCs/>
        </w:rPr>
        <w:t>促进职业技能培养与职业精神养成相融合</w:t>
      </w:r>
      <w:bookmarkEnd w:id="139"/>
      <w:bookmarkEnd w:id="140"/>
    </w:p>
    <w:p w14:paraId="0594396D">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加强文化素质教育，坚持知识学习、技能培养与品德修养相统一，将人文素养和职业素质教育纳入人才培养方案，加强文化艺术类课程建设，完善人格修养，培育学生诚实守信、崇尚科学、追求真理的思想观念。贯彻落实《高等学校体育工作基本标准》，促进学生身心健康；充分发挥校园文化对职业精神养成的独特作用，推进优秀产业文化进教育、企业文化进校园、职业文化进课堂，将生态环保、绿色节能、循环经济等理念融入教育过程；利用学校博物馆、校史馆、图书馆、档案馆等，发挥学校历史沿革、专业发展历程、杰出人物事迹的文化育人作用。围绕传播职业精神组织第二课堂，弘扬以德为先、追求技艺、重视传承的中华优秀传统文化。发挥学生党支部、共青团、学生会、学生社团的作用，与政府、行业、企业合作开展内容丰富、形式新颖、传递正能量的实践育人活动和校园文化活动。注重用优秀毕业生先进事迹教育引导在校学生。</w:t>
      </w:r>
    </w:p>
    <w:p w14:paraId="0F41A889">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黑体" w:hAnsi="黑体" w:eastAsia="黑体" w:cs="黑体"/>
          <w:lang w:val="en-US" w:eastAsia="zh-CN"/>
        </w:rPr>
      </w:pPr>
      <w:bookmarkStart w:id="141" w:name="_Toc433011443"/>
      <w:r>
        <w:rPr>
          <w:rFonts w:hint="eastAsia" w:ascii="黑体" w:hAnsi="黑体" w:eastAsia="黑体" w:cs="黑体"/>
          <w:lang w:val="en-US" w:eastAsia="zh-CN"/>
        </w:rPr>
        <w:t>三、保障措施</w:t>
      </w:r>
      <w:bookmarkEnd w:id="141"/>
    </w:p>
    <w:p w14:paraId="646474DA">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本计划是今后一个时期高等职业教育战线贯彻2014年全国职业教育工作会议精神和落实全国人大常委会职业教育法执法检查有关要求，深入推进改革发展的路线图，各地必须高度重视，保证落实。</w:t>
      </w:r>
    </w:p>
    <w:p w14:paraId="3CB11CEF">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rPr>
      </w:pPr>
      <w:bookmarkStart w:id="142" w:name="_Toc396726731"/>
      <w:bookmarkStart w:id="143" w:name="_Toc433011444"/>
      <w:bookmarkStart w:id="144" w:name="_Toc292285482"/>
      <w:bookmarkStart w:id="145" w:name="_Toc309579264"/>
      <w:bookmarkStart w:id="146" w:name="_Toc318277166"/>
      <w:bookmarkStart w:id="147" w:name="_Toc318140044"/>
      <w:bookmarkStart w:id="148" w:name="_Toc345178862"/>
      <w:bookmarkStart w:id="149" w:name="_Toc290544856"/>
      <w:bookmarkStart w:id="150" w:name="_Toc290822762"/>
      <w:bookmarkStart w:id="151" w:name="_Toc310585385"/>
      <w:r>
        <w:rPr>
          <w:rFonts w:hint="eastAsia"/>
          <w:b/>
          <w:bCs/>
        </w:rPr>
        <w:t>（一）加强组织领导</w:t>
      </w:r>
      <w:bookmarkEnd w:id="142"/>
      <w:bookmarkEnd w:id="143"/>
    </w:p>
    <w:p w14:paraId="27DA05D3">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教育部负责协调国务院相关部门牵头制定国家层面的政策、制度和标准，省级政府是实施行动计划的责任主体。各地教育行政部门要充分发挥统筹规划、宏观管理作用，主动协调配合发展改革、财政、人社、农业、扶贫等有关部门，协调项目预算、保证任务落实。各地要发挥职业教育工作部门联席会议作用，根据本行动计划内容，结合实际制定好落实方案；按照国家财政体制改革要求，统筹各类教育培训经费，保证落实方案的顺利实施；推动职业教育改革试验区和体制改革试点先行先试，出台政策、配套条件，有效解决瓶颈问题。</w:t>
      </w:r>
    </w:p>
    <w:p w14:paraId="01C153F5">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rPr>
      </w:pPr>
      <w:bookmarkStart w:id="152" w:name="_Toc396726732"/>
      <w:bookmarkStart w:id="153" w:name="_Toc433011445"/>
      <w:r>
        <w:rPr>
          <w:rFonts w:hint="eastAsia"/>
          <w:b/>
          <w:bCs/>
        </w:rPr>
        <w:t>（二）强化管理</w:t>
      </w:r>
      <w:bookmarkEnd w:id="152"/>
      <w:r>
        <w:rPr>
          <w:rFonts w:hint="eastAsia"/>
          <w:b/>
          <w:bCs/>
        </w:rPr>
        <w:t>督查</w:t>
      </w:r>
      <w:bookmarkEnd w:id="153"/>
    </w:p>
    <w:p w14:paraId="50AD1D2F">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各地要逐级按照职能分工量化落实方案，逐级分解任务、明确目标、落实责任，确定时间表和任务书，实行项目管理；将落实方案执行情况列入省政府督查范围，将目标责任完成情况作为督查对象业绩考核的重要内容。省级教育行政部门要充分发挥业务指导作用，会同有关部门加强对相关工作的日常指导、检查与跟踪，及时总结经验、发现问题，根据实际需要不断完善工作要求。行业部门要引导和督促相关行业企业制定和执行实施方案。鼓励社会各界对计划实施情况进行监督。教育部将汇总整理各地申请承担的任务及量化指标、统筹梳理各地自主申请的项目及建设方案予以发布，同时做好事中监督管理、事后检查验收工作；各地实际任务及项目的完成情况将作为中央财政改革绩效奖补、国家职业教育改革发展试验区和“国家教育体制改革试点”布局和验收的重要依据。</w:t>
      </w:r>
    </w:p>
    <w:bookmarkEnd w:id="144"/>
    <w:bookmarkEnd w:id="145"/>
    <w:bookmarkEnd w:id="146"/>
    <w:bookmarkEnd w:id="147"/>
    <w:bookmarkEnd w:id="148"/>
    <w:bookmarkEnd w:id="149"/>
    <w:bookmarkEnd w:id="150"/>
    <w:bookmarkEnd w:id="151"/>
    <w:p w14:paraId="6B87587E">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b/>
          <w:bCs/>
        </w:rPr>
      </w:pPr>
      <w:bookmarkStart w:id="154" w:name="_Toc433011446"/>
      <w:r>
        <w:rPr>
          <w:rFonts w:hint="eastAsia"/>
          <w:b/>
          <w:bCs/>
        </w:rPr>
        <w:t>（三）营造良好环境</w:t>
      </w:r>
      <w:bookmarkEnd w:id="154"/>
    </w:p>
    <w:p w14:paraId="3698EB95">
      <w:pPr>
        <w:keepNext w:val="0"/>
        <w:keepLines w:val="0"/>
        <w:pageBreakBefore w:val="0"/>
        <w:widowControl w:val="0"/>
        <w:kinsoku/>
        <w:wordWrap/>
        <w:overflowPunct/>
        <w:topLinePunct w:val="0"/>
        <w:autoSpaceDE/>
        <w:autoSpaceDN/>
        <w:bidi w:val="0"/>
        <w:adjustRightInd w:val="0"/>
        <w:snapToGrid w:val="0"/>
        <w:spacing w:line="540" w:lineRule="exact"/>
        <w:textAlignment w:val="auto"/>
      </w:pPr>
      <w:r>
        <w:rPr>
          <w:rFonts w:hint="eastAsia" w:ascii="仿宋_GB2312" w:hAnsi="仿宋_GB2312" w:eastAsia="仿宋_GB2312" w:cs="仿宋_GB2312"/>
          <w:sz w:val="30"/>
          <w:szCs w:val="30"/>
        </w:rPr>
        <w:t>鼓励各地根据需要出台职业教育条例、校企合作促进办法等地方性法规，优化区域政策环境。坚持“先培训、后就业”“先培训、后上岗”的原则；消除城乡、行业、学校、身份、性别等一切影响平等就业的制度障碍和就业歧视；深化收入分配制度改革，切实提高劳动报酬在初次分配中的比重。按照国家有关规定完善职业教育先进单位和先进个人表彰奖励制度，定期开展职业教育活动周宣传教育工作。通过主流媒体和各种新兴媒体，广泛宣传高等职业教育方针政策、高等职业院校先进经验和技术技能人才成果贡献，引导全社会树立重视职业教育的理念，促进形成“劳动光荣、技能宝贵、创造伟大”的社会氛围。</w:t>
      </w:r>
    </w:p>
    <w:p w14:paraId="039E0DE7">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br w:type="page"/>
      </w:r>
    </w:p>
    <w:p w14:paraId="0B11274A">
      <w:pPr>
        <w:pStyle w:val="2"/>
        <w:numPr>
          <w:ilvl w:val="0"/>
          <w:numId w:val="1"/>
        </w:numPr>
        <w:bidi w:val="0"/>
        <w:ind w:left="0" w:leftChars="0" w:firstLine="640" w:firstLineChars="200"/>
        <w:rPr>
          <w:rFonts w:hint="eastAsia"/>
        </w:rPr>
      </w:pPr>
      <w:bookmarkStart w:id="155" w:name="_Toc20178"/>
      <w:bookmarkStart w:id="156" w:name="_Toc3355"/>
      <w:bookmarkStart w:id="157" w:name="_Toc24114"/>
      <w:bookmarkStart w:id="158" w:name="_Toc5299"/>
      <w:r>
        <w:rPr>
          <w:rFonts w:hint="eastAsia"/>
        </w:rPr>
        <w:t>教育部 发展改革委 财政部关于引导部分地方普通本科高校向应用型转变的指导意见</w:t>
      </w:r>
      <w:bookmarkEnd w:id="155"/>
      <w:bookmarkEnd w:id="156"/>
      <w:bookmarkEnd w:id="157"/>
      <w:bookmarkEnd w:id="158"/>
    </w:p>
    <w:p w14:paraId="71332652">
      <w:pPr>
        <w:numPr>
          <w:numId w:val="0"/>
        </w:numPr>
        <w:ind w:leftChars="200"/>
        <w:rPr>
          <w:rFonts w:hint="eastAsia"/>
        </w:rPr>
      </w:pPr>
    </w:p>
    <w:p w14:paraId="1E45D829">
      <w:pPr>
        <w:numPr>
          <w:numId w:val="0"/>
        </w:numPr>
        <w:bidi w:val="0"/>
        <w:jc w:val="center"/>
        <w:rPr>
          <w:rFonts w:hint="eastAsia"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教育部 发展改革委 财政部</w:t>
      </w:r>
    </w:p>
    <w:p w14:paraId="396D32BD">
      <w:pPr>
        <w:numPr>
          <w:numId w:val="0"/>
        </w:numPr>
        <w:bidi w:val="0"/>
        <w:jc w:val="center"/>
        <w:rPr>
          <w:rFonts w:hint="eastAsia" w:asciiTheme="majorEastAsia" w:hAnsiTheme="majorEastAsia" w:eastAsiaTheme="majorEastAsia" w:cstheme="majorEastAsia"/>
          <w:b/>
          <w:bCs/>
          <w:w w:val="90"/>
          <w:sz w:val="36"/>
          <w:szCs w:val="36"/>
        </w:rPr>
      </w:pPr>
      <w:r>
        <w:rPr>
          <w:rFonts w:hint="eastAsia" w:asciiTheme="majorEastAsia" w:hAnsiTheme="majorEastAsia" w:eastAsiaTheme="majorEastAsia" w:cstheme="majorEastAsia"/>
          <w:b/>
          <w:bCs/>
          <w:w w:val="90"/>
          <w:sz w:val="36"/>
          <w:szCs w:val="36"/>
        </w:rPr>
        <w:t>关于引导部分地方普通本科高校向应用型转变的指导意见</w:t>
      </w:r>
    </w:p>
    <w:p w14:paraId="468A3BD1">
      <w:pPr>
        <w:numPr>
          <w:numId w:val="0"/>
        </w:numPr>
        <w:ind w:leftChars="200"/>
        <w:rPr>
          <w:rFonts w:hint="eastAsia"/>
        </w:rPr>
      </w:pPr>
    </w:p>
    <w:p w14:paraId="0090D7DE">
      <w:pPr>
        <w:keepNext w:val="0"/>
        <w:keepLines w:val="0"/>
        <w:pageBreakBefore w:val="0"/>
        <w:widowControl w:val="0"/>
        <w:kinsoku/>
        <w:wordWrap/>
        <w:overflowPunct/>
        <w:topLinePunct w:val="0"/>
        <w:autoSpaceDE/>
        <w:autoSpaceDN/>
        <w:bidi w:val="0"/>
        <w:adjustRightInd w:val="0"/>
        <w:snapToGrid w:val="0"/>
        <w:spacing w:line="540" w:lineRule="atLeast"/>
        <w:ind w:firstLine="600" w:firstLineChars="200"/>
        <w:jc w:val="right"/>
        <w:textAlignment w:val="auto"/>
        <w:rPr>
          <w:rFonts w:hint="eastAsia" w:ascii="楷体" w:hAnsi="楷体" w:eastAsia="楷体" w:cs="楷体"/>
          <w:sz w:val="30"/>
          <w:szCs w:val="30"/>
          <w:lang w:eastAsia="zh-CN"/>
        </w:rPr>
      </w:pPr>
      <w:r>
        <w:rPr>
          <w:rFonts w:hint="eastAsia" w:ascii="楷体" w:hAnsi="楷体" w:eastAsia="楷体" w:cs="楷体"/>
          <w:sz w:val="30"/>
          <w:szCs w:val="30"/>
        </w:rPr>
        <w:t>教发〔2015〕7号</w:t>
      </w:r>
    </w:p>
    <w:p w14:paraId="455E5D44">
      <w:pPr>
        <w:keepNext w:val="0"/>
        <w:keepLines w:val="0"/>
        <w:pageBreakBefore w:val="0"/>
        <w:widowControl w:val="0"/>
        <w:kinsoku/>
        <w:wordWrap/>
        <w:overflowPunct/>
        <w:topLinePunct w:val="0"/>
        <w:autoSpaceDE/>
        <w:autoSpaceDN/>
        <w:bidi w:val="0"/>
        <w:adjustRightInd w:val="0"/>
        <w:snapToGrid w:val="0"/>
        <w:spacing w:line="540" w:lineRule="atLeast"/>
        <w:ind w:left="0" w:leftChars="0" w:firstLine="0" w:firstLineChars="0"/>
        <w:textAlignment w:val="auto"/>
        <w:rPr>
          <w:rFonts w:hint="eastAsia" w:ascii="楷体" w:hAnsi="楷体" w:eastAsia="楷体" w:cs="楷体"/>
          <w:sz w:val="30"/>
          <w:szCs w:val="30"/>
        </w:rPr>
      </w:pPr>
    </w:p>
    <w:p w14:paraId="19E2307A">
      <w:pPr>
        <w:keepNext w:val="0"/>
        <w:keepLines w:val="0"/>
        <w:pageBreakBefore w:val="0"/>
        <w:widowControl w:val="0"/>
        <w:kinsoku/>
        <w:wordWrap/>
        <w:overflowPunct/>
        <w:topLinePunct w:val="0"/>
        <w:autoSpaceDE/>
        <w:autoSpaceDN/>
        <w:bidi w:val="0"/>
        <w:adjustRightInd w:val="0"/>
        <w:snapToGrid w:val="0"/>
        <w:spacing w:line="540" w:lineRule="atLeast"/>
        <w:ind w:left="0" w:leftChars="0" w:firstLine="0" w:firstLineChars="0"/>
        <w:textAlignment w:val="auto"/>
        <w:rPr>
          <w:rFonts w:hint="eastAsia" w:ascii="仿宋_GB2312" w:hAnsi="仿宋_GB2312" w:eastAsia="仿宋_GB2312" w:cs="仿宋_GB2312"/>
          <w:sz w:val="30"/>
          <w:szCs w:val="30"/>
        </w:rPr>
      </w:pPr>
      <w:r>
        <w:rPr>
          <w:rFonts w:hint="eastAsia" w:ascii="楷体" w:hAnsi="楷体" w:eastAsia="楷体" w:cs="楷体"/>
          <w:sz w:val="30"/>
          <w:szCs w:val="30"/>
        </w:rPr>
        <w:t>各省、自治区、直辖市教育厅（教委）、发展改革委、财政厅（局），新疆生产建设兵团教育局、发展改革委、财务局</w:t>
      </w:r>
      <w:r>
        <w:rPr>
          <w:rFonts w:hint="eastAsia" w:ascii="仿宋_GB2312" w:hAnsi="仿宋_GB2312" w:eastAsia="仿宋_GB2312" w:cs="仿宋_GB2312"/>
          <w:sz w:val="30"/>
          <w:szCs w:val="30"/>
        </w:rPr>
        <w:t>：</w:t>
      </w:r>
    </w:p>
    <w:p w14:paraId="0E3C81D3">
      <w:pPr>
        <w:keepNext w:val="0"/>
        <w:keepLines w:val="0"/>
        <w:pageBreakBefore w:val="0"/>
        <w:widowControl w:val="0"/>
        <w:kinsoku/>
        <w:wordWrap/>
        <w:overflowPunct/>
        <w:topLinePunct w:val="0"/>
        <w:autoSpaceDE/>
        <w:autoSpaceDN/>
        <w:bidi w:val="0"/>
        <w:adjustRightInd w:val="0"/>
        <w:snapToGrid w:val="0"/>
        <w:spacing w:line="540" w:lineRule="atLeas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为贯彻落实党中央、国务院关于引导部分地方普通本科高校向应用型转变（以下简称转型发展）的决策部署，推动高校转型发展，现提出如下意见。</w:t>
      </w:r>
    </w:p>
    <w:p w14:paraId="600C7DB9">
      <w:pPr>
        <w:keepNext w:val="0"/>
        <w:keepLines w:val="0"/>
        <w:pageBreakBefore w:val="0"/>
        <w:widowControl w:val="0"/>
        <w:kinsoku/>
        <w:wordWrap/>
        <w:overflowPunct/>
        <w:topLinePunct w:val="0"/>
        <w:autoSpaceDE/>
        <w:autoSpaceDN/>
        <w:bidi w:val="0"/>
        <w:adjustRightInd w:val="0"/>
        <w:snapToGrid w:val="0"/>
        <w:spacing w:line="540" w:lineRule="atLeast"/>
        <w:ind w:firstLine="600" w:firstLineChars="200"/>
        <w:textAlignment w:val="auto"/>
        <w:rPr>
          <w:rFonts w:hint="eastAsia" w:ascii="黑体" w:hAnsi="黑体" w:eastAsia="黑体" w:cs="黑体"/>
          <w:sz w:val="30"/>
          <w:szCs w:val="30"/>
        </w:rPr>
      </w:pPr>
      <w:r>
        <w:rPr>
          <w:rFonts w:hint="eastAsia" w:ascii="黑体" w:hAnsi="黑体" w:eastAsia="黑体" w:cs="黑体"/>
          <w:sz w:val="30"/>
          <w:szCs w:val="30"/>
        </w:rPr>
        <w:t>一、重要意义</w:t>
      </w:r>
    </w:p>
    <w:p w14:paraId="48E0F827">
      <w:pPr>
        <w:keepNext w:val="0"/>
        <w:keepLines w:val="0"/>
        <w:pageBreakBefore w:val="0"/>
        <w:widowControl w:val="0"/>
        <w:kinsoku/>
        <w:wordWrap/>
        <w:overflowPunct/>
        <w:topLinePunct w:val="0"/>
        <w:autoSpaceDE/>
        <w:autoSpaceDN/>
        <w:bidi w:val="0"/>
        <w:adjustRightInd w:val="0"/>
        <w:snapToGrid w:val="0"/>
        <w:spacing w:line="540" w:lineRule="atLeas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当前，我国已经建成了世界上最大规模的高等教育体系，为现代化建设作出了巨大贡献。但随着经济发展进入新常态，人才供给与需求关系深刻变化，面对经济结构深刻调整、产业升级加快步伐、社会文化建设不断推进特别是创新驱动发展战略的实施，高等教育结构性矛盾更加突出，同质化倾向严重，毕业生就业难和就业质量低的问题仍未有效缓解，生产服务一线紧缺的应用型、复合型、创新型人才培养机制尚未完全建立，人才培养结构和质量尚不适应经济结构调整和产业升级的要求。</w:t>
      </w:r>
    </w:p>
    <w:p w14:paraId="02B3608D">
      <w:pPr>
        <w:keepNext w:val="0"/>
        <w:keepLines w:val="0"/>
        <w:pageBreakBefore w:val="0"/>
        <w:widowControl w:val="0"/>
        <w:kinsoku/>
        <w:wordWrap/>
        <w:overflowPunct/>
        <w:topLinePunct w:val="0"/>
        <w:autoSpaceDE/>
        <w:autoSpaceDN/>
        <w:bidi w:val="0"/>
        <w:adjustRightInd w:val="0"/>
        <w:snapToGrid w:val="0"/>
        <w:spacing w:line="540" w:lineRule="atLeas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积极推进转型发展，必须采取有力举措破解转型发展改革中顶层设计不够、改革动力不足、体制束缚太多等突出问题。特别是紧紧围绕创新驱动发展、中国制造2025、互联网+、大众创业万众创新、“一带一路”等国家重大战略，找准转型发展的着力点、突破口，真正增强地方高校为区域经济社会发展服务的能力，为行业企业技术进步服务的能力，为学习者创造价值的能力。各地各高校要从适应和引领经济发展新常态、服务创新驱动发展的大局出发，切实增强对转型发展工作重要性、紧迫性的认识，摆在当前工作的重要位置，以改革创新的精神，推动部分普通本科高校转型发展。</w:t>
      </w:r>
    </w:p>
    <w:p w14:paraId="59EEA5F5">
      <w:pPr>
        <w:keepNext w:val="0"/>
        <w:keepLines w:val="0"/>
        <w:pageBreakBefore w:val="0"/>
        <w:widowControl w:val="0"/>
        <w:kinsoku/>
        <w:wordWrap/>
        <w:overflowPunct/>
        <w:topLinePunct w:val="0"/>
        <w:autoSpaceDE/>
        <w:autoSpaceDN/>
        <w:bidi w:val="0"/>
        <w:adjustRightInd w:val="0"/>
        <w:snapToGrid w:val="0"/>
        <w:spacing w:line="540" w:lineRule="atLeast"/>
        <w:ind w:firstLine="600" w:firstLineChars="200"/>
        <w:textAlignment w:val="auto"/>
        <w:rPr>
          <w:rFonts w:hint="eastAsia" w:ascii="黑体" w:hAnsi="黑体" w:eastAsia="黑体" w:cs="黑体"/>
          <w:sz w:val="30"/>
          <w:szCs w:val="30"/>
        </w:rPr>
      </w:pPr>
      <w:r>
        <w:rPr>
          <w:rFonts w:hint="eastAsia" w:ascii="黑体" w:hAnsi="黑体" w:eastAsia="黑体" w:cs="黑体"/>
          <w:sz w:val="30"/>
          <w:szCs w:val="30"/>
        </w:rPr>
        <w:t>二、指导思想和基本思路</w:t>
      </w:r>
    </w:p>
    <w:p w14:paraId="2C92AEAD">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1.指导思想</w:t>
      </w:r>
    </w:p>
    <w:p w14:paraId="1A3411D5">
      <w:pPr>
        <w:keepNext w:val="0"/>
        <w:keepLines w:val="0"/>
        <w:pageBreakBefore w:val="0"/>
        <w:widowControl w:val="0"/>
        <w:kinsoku/>
        <w:wordWrap/>
        <w:overflowPunct/>
        <w:topLinePunct w:val="0"/>
        <w:autoSpaceDE/>
        <w:autoSpaceDN/>
        <w:bidi w:val="0"/>
        <w:adjustRightInd w:val="0"/>
        <w:snapToGrid w:val="0"/>
        <w:spacing w:line="540" w:lineRule="atLeas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贯彻党中央、国务院重大决策，主动适应我国经济发展新常态，主动融入产业转型升级和创新驱动发展，坚持试点引领、示范推动，转变发展理念，增强改革动力，强化评价引导，推动转型发展高校把办学思路真正转到服务地方经济社会发展上来，转到产教融合校企合作上来，转到培养应用型技术技能型人才上来，转到增强学生就业创业能力上来，全面提高学校服务区域经济社会发展和创新驱动发展的能力。</w:t>
      </w:r>
    </w:p>
    <w:p w14:paraId="502D4C43">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2.基本思路</w:t>
      </w:r>
    </w:p>
    <w:p w14:paraId="593751EB">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——坚持顶层设计、综合改革。</w:t>
      </w:r>
      <w:r>
        <w:rPr>
          <w:rFonts w:hint="eastAsia" w:ascii="仿宋_GB2312" w:hAnsi="仿宋_GB2312" w:eastAsia="仿宋_GB2312" w:cs="仿宋_GB2312"/>
          <w:sz w:val="30"/>
          <w:szCs w:val="30"/>
        </w:rPr>
        <w:t>系统总结近年来高等教育和职业教育改革的成功经验，增强改革的系统性、整体性和协调性。不断完善促进转型发展的政策体系，推动院校设置、招生计划、拨款制度、学校治理结构、学科专业设置、人才培养模式、师资队伍建设、招生考试制度等重点难点领域的改革。充分发挥评估评价制度的导向作用，以评促建、以评促转，使转型高校的教育目标和质量标准更加对接社会需求、更加符合应用型高校的办学定位。</w:t>
      </w:r>
    </w:p>
    <w:p w14:paraId="42E5447A">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——坚持需求导向、服务地方。</w:t>
      </w:r>
      <w:r>
        <w:rPr>
          <w:rFonts w:hint="eastAsia" w:ascii="仿宋_GB2312" w:hAnsi="仿宋_GB2312" w:eastAsia="仿宋_GB2312" w:cs="仿宋_GB2312"/>
          <w:sz w:val="30"/>
          <w:szCs w:val="30"/>
        </w:rPr>
        <w:t>发挥政府宏观调控和市场机制作用，推进需求传导式的改革，深化产教融合、校企合作，促进高校科学定位、特色发展，加强一线技术技能人才培养，促进毕业生就业质量显著提高，科技型创业人才培养取得重大突破，将一批高校建成有区域影响力的先进技术转移中心、科技服务中心和技术创新基地。</w:t>
      </w:r>
    </w:p>
    <w:p w14:paraId="141331ED">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——坚持试点先行、示范引领。</w:t>
      </w:r>
      <w:r>
        <w:rPr>
          <w:rFonts w:hint="eastAsia" w:ascii="仿宋_GB2312" w:hAnsi="仿宋_GB2312" w:eastAsia="仿宋_GB2312" w:cs="仿宋_GB2312"/>
          <w:sz w:val="30"/>
          <w:szCs w:val="30"/>
        </w:rPr>
        <w:t>转型的主体是学校。按照试点一批、带动一片的要求，确定一批有条件、有意愿的试点高校率先探索应用型（含应用技术大学、学院）发展模式。充分发挥试点高校的示范引领作用，激发高校转型内生动力活力，带动更多地方高校加快转型步伐，推动高等教育改革和现代职业教育体系建设不断取得新进展。</w:t>
      </w:r>
    </w:p>
    <w:p w14:paraId="58A30C63">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——坚持省级统筹、协同推进。</w:t>
      </w:r>
      <w:r>
        <w:rPr>
          <w:rFonts w:hint="eastAsia" w:ascii="仿宋_GB2312" w:hAnsi="仿宋_GB2312" w:eastAsia="仿宋_GB2312" w:cs="仿宋_GB2312"/>
          <w:sz w:val="30"/>
          <w:szCs w:val="30"/>
        </w:rPr>
        <w:t>转型的责任在地方。充分发挥省级政府统筹权，根据区域经济社会发展和高等教育整体布局结构，制定转型发展的实施方案，加强区域内产业、教育、科技资源的统筹和部门之间的协调，积极稳妥推进转型发展工作。</w:t>
      </w:r>
    </w:p>
    <w:p w14:paraId="37716819">
      <w:pPr>
        <w:keepNext w:val="0"/>
        <w:keepLines w:val="0"/>
        <w:pageBreakBefore w:val="0"/>
        <w:widowControl w:val="0"/>
        <w:kinsoku/>
        <w:wordWrap/>
        <w:overflowPunct/>
        <w:topLinePunct w:val="0"/>
        <w:autoSpaceDE/>
        <w:autoSpaceDN/>
        <w:bidi w:val="0"/>
        <w:adjustRightInd w:val="0"/>
        <w:snapToGrid w:val="0"/>
        <w:spacing w:line="540" w:lineRule="atLeast"/>
        <w:ind w:firstLine="600" w:firstLineChars="200"/>
        <w:textAlignment w:val="auto"/>
        <w:rPr>
          <w:rFonts w:hint="eastAsia" w:ascii="黑体" w:hAnsi="黑体" w:eastAsia="黑体" w:cs="黑体"/>
          <w:sz w:val="30"/>
          <w:szCs w:val="30"/>
        </w:rPr>
      </w:pPr>
      <w:r>
        <w:rPr>
          <w:rFonts w:hint="eastAsia" w:ascii="黑体" w:hAnsi="黑体" w:eastAsia="黑体" w:cs="黑体"/>
          <w:sz w:val="30"/>
          <w:szCs w:val="30"/>
        </w:rPr>
        <w:t>三、转型发展的主要任务</w:t>
      </w:r>
    </w:p>
    <w:p w14:paraId="78D77030">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3.明确类型定位和转型路径。</w:t>
      </w:r>
      <w:r>
        <w:rPr>
          <w:rFonts w:hint="eastAsia" w:ascii="仿宋_GB2312" w:hAnsi="仿宋_GB2312" w:eastAsia="仿宋_GB2312" w:cs="仿宋_GB2312"/>
          <w:sz w:val="30"/>
          <w:szCs w:val="30"/>
        </w:rPr>
        <w:t>确立应用型的类型定位和培养应用型技术技能型人才的职责使命，以产教融合、校企合作为突破口，根据所服务区域、行业的发展需求，找准切入点、创新点、增长点，制定改革的时间表、路线图。转型高校要结合“十三五”规划编制工作，切实发扬民主，通过广泛的思想动员，将学校类型定位和转型发展战略通过学校章程、党代会教代会决议的形式予以明确。</w:t>
      </w:r>
    </w:p>
    <w:p w14:paraId="5D62541C">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4.加快融入区域经济社会发展。</w:t>
      </w:r>
      <w:r>
        <w:rPr>
          <w:rFonts w:hint="eastAsia" w:ascii="仿宋_GB2312" w:hAnsi="仿宋_GB2312" w:eastAsia="仿宋_GB2312" w:cs="仿宋_GB2312"/>
          <w:sz w:val="30"/>
          <w:szCs w:val="30"/>
        </w:rPr>
        <w:t>建立合作关系，使转型高校更好地与当地创新要素资源对接，与经济开发区、产业聚集区创新发展对接，与行业企业人才培养和技术创新需求对接。积极争取地方政府、行业企业支持，通过建设协同创新中心、工业研究院、创新创业基地等载体和科研、医疗、文化、体育等基础设施共建共享，形成高校和区域经济社会联动发展格局。围绕中国制造2025、“一带一路”、京津冀协同发展、长江经济带建设、区域特色优势产业转型升级、社会建设和基本公共服务等重大战略，加快建立人才培养、科技服务、技术创新、万众创业的一体化发展机制。</w:t>
      </w:r>
    </w:p>
    <w:p w14:paraId="4B52EBDF">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5.抓住新产业、新业态和新技术发展机遇。</w:t>
      </w:r>
      <w:r>
        <w:rPr>
          <w:rFonts w:hint="eastAsia" w:ascii="仿宋_GB2312" w:hAnsi="仿宋_GB2312" w:eastAsia="仿宋_GB2312" w:cs="仿宋_GB2312"/>
          <w:sz w:val="30"/>
          <w:szCs w:val="30"/>
        </w:rPr>
        <w:t>创新发展思路，增强把握社会经济技术重大变革趋势的能力，加强战略谋划和布局，实现弯道超车。适应、融入、引领所服务区域的新产业、新业态发展，瞄准当地经济社会发展的新增长点，形成人才培养和技术创新新格局。促进新技术向生产生活广泛渗透、应用，推动“互联网+”战略在当地深入推进，形成人才培养和技术创新新优势。以服务新产业、新业态、新技术为突破口，形成一批服务产业转型升级和先进技术转移应用特色鲜明的应用技术大学、学院。</w:t>
      </w:r>
    </w:p>
    <w:p w14:paraId="6C011BF7">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6.建立行业企业合作发展平台。</w:t>
      </w:r>
      <w:r>
        <w:rPr>
          <w:rFonts w:hint="eastAsia" w:ascii="仿宋_GB2312" w:hAnsi="仿宋_GB2312" w:eastAsia="仿宋_GB2312" w:cs="仿宋_GB2312"/>
          <w:sz w:val="30"/>
          <w:szCs w:val="30"/>
        </w:rPr>
        <w:t>建立学校、地方、行业、企业和社区共同参与的合作办学、合作治理机制。校企合作的专业集群实现全覆盖。转型高校可以与行业、企业实行共同组建教育集团，也可以与行业企业、产业集聚区共建共管二级学院。建立有地方、行业和用人单位参与的校、院理事会（董事会）制度、专业指导委员会制度，成员中来自于地方政府、行业、企业和社区的比例不低于50%。支持行业、企业全方位全过程参与学校管理、专业建设、课程设置、人才培养和绩效评价。积极争取地方、行业、企业的经费、项目和资源在学校集聚，合作推动学校转型发展。</w:t>
      </w:r>
    </w:p>
    <w:p w14:paraId="55A20F8E">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7.建立紧密对接产业链、创新链的专业体系。</w:t>
      </w:r>
      <w:r>
        <w:rPr>
          <w:rFonts w:hint="eastAsia" w:ascii="仿宋_GB2312" w:hAnsi="仿宋_GB2312" w:eastAsia="仿宋_GB2312" w:cs="仿宋_GB2312"/>
          <w:sz w:val="30"/>
          <w:szCs w:val="30"/>
        </w:rPr>
        <w:t>按需重组人才培养结构和流程，围绕产业链、创新链调整专业设置，形成特色专业集群。通过改造传统专业、设立复合型新专业、建立课程超市等方式，大幅度提高复合型技术技能人才培养比重。建立行业和用人单位专家参与的校内专业设置评议制度，形成根据社会需求、学校能力和行业指导依法设置新专业的机制。改变专业设置盲目追求数量的倾向，集中力量办好地方（行业）急需、优势突出、特色鲜明的专业。</w:t>
      </w:r>
    </w:p>
    <w:p w14:paraId="59B2D4B2">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8.创新应用型技术技能型人才培养模式。</w:t>
      </w:r>
      <w:r>
        <w:rPr>
          <w:rFonts w:hint="eastAsia" w:ascii="仿宋_GB2312" w:hAnsi="仿宋_GB2312" w:eastAsia="仿宋_GB2312" w:cs="仿宋_GB2312"/>
          <w:sz w:val="30"/>
          <w:szCs w:val="30"/>
        </w:rPr>
        <w:t>建立以提高实践能力为引领的人才培养流程，率先应用“卓越计划”的改革成果，建立产教融合、协同育人的人才培养模式，实现专业链与产业链、课程内容与职业标准、教学过程与生产过程对接。加强实验、实训、实习环节，实训实习的课时占专业教学总课时的比例达到30%以上，建立实训实习质量保障机制。扩大学生的学习自主权，实施以学生为中心的启发式、合作式、参与式教学，逐步扩大学生自主选择专业和课程的权利。具有培养专业学位研究生资格的转型高校要建立以职业需求为导向、以实践能力培养为重点、以产学结合为途径的专业学位研究生培养模式。工程硕士等有关专业学位类别的研究生教育要瞄准产业先进技术的转移和创新，与行业内领先企业开展联合培养，主要招收在科技应用和创新一线有实际工作经验的学员。</w:t>
      </w:r>
    </w:p>
    <w:p w14:paraId="60A79DED">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9.深化人才培养方案和课程体系改革。</w:t>
      </w:r>
      <w:r>
        <w:rPr>
          <w:rFonts w:hint="eastAsia" w:ascii="仿宋_GB2312" w:hAnsi="仿宋_GB2312" w:eastAsia="仿宋_GB2312" w:cs="仿宋_GB2312"/>
          <w:sz w:val="30"/>
          <w:szCs w:val="30"/>
        </w:rPr>
        <w:t>以社会经济发展和产业技术进步驱动课程改革，整合相关的专业基础课、主干课、核心课、专业技能应用和实验实践课，更加专注培养学习者的技术技能和创新创业能力。认真贯彻落实《关于深化高等学校创新创业教育改革的实施意见》，将创新创业教育融入人才培养全过程，将专业教育和创业教育有机结合。把企业技术革新项目作为人才培养的重要载体，把行业企业的一线需要作为毕业设计选题来源，全面推行案例教学、项目教学。将现代信息技术全面融入教学改革，推动信息化教学、虚拟现实技术、数字仿真实验、在线知识支持、在线教学监测等广泛应用，通过校校合作、校企合作联合开发在线开放课程。</w:t>
      </w:r>
    </w:p>
    <w:p w14:paraId="20DBFCE8">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10.加强实验实训实习基地建设。</w:t>
      </w:r>
      <w:r>
        <w:rPr>
          <w:rFonts w:hint="eastAsia" w:ascii="仿宋_GB2312" w:hAnsi="仿宋_GB2312" w:eastAsia="仿宋_GB2312" w:cs="仿宋_GB2312"/>
          <w:sz w:val="30"/>
          <w:szCs w:val="30"/>
        </w:rPr>
        <w:t>按照工学结合、知行合一的要求，根据生产、服务的真实技术和流程构建知识教育体系、技术技能训练体系和实验实训实习环境。按照所服务行业先进技术水平，采取企业投资或捐赠、政府购买、学校自筹、融资租赁等多种方式加快实验实训实习基地建设。引进企业科研、生产基地，建立校企一体、产学研一体的大型实验实训实习中心。统筹各类实践教学资源，构建功能集约、资源共享、开放充分、运作高效的专业类或跨专业类实验教学平台。</w:t>
      </w:r>
    </w:p>
    <w:p w14:paraId="1D107758">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11.促进与中职、专科层次高职有机衔接。</w:t>
      </w:r>
      <w:r>
        <w:rPr>
          <w:rFonts w:hint="eastAsia" w:ascii="仿宋_GB2312" w:hAnsi="仿宋_GB2312" w:eastAsia="仿宋_GB2312" w:cs="仿宋_GB2312"/>
          <w:sz w:val="30"/>
          <w:szCs w:val="30"/>
        </w:rPr>
        <w:t>建立与普通高中教育、中等职业教育和专科层次高等职业教育的衔接机制。有条件的高校要逐步提高招收在职技术技能人员的比例，积极探索建立教育-就业“旋转门”机制，为一线技术技能人才的职业发展、终身学习提供有效支持。适当扩大招收中职、专科层次高职毕业生的比例。制定多样化人才培养方案，根据学习者来源、知识技能基础和培养方向的多样性，全面推进模块化教学和学分制。</w:t>
      </w:r>
    </w:p>
    <w:p w14:paraId="26535BDB">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12.广泛开展面向一线技术技能人才的继续教育</w:t>
      </w:r>
      <w:r>
        <w:rPr>
          <w:rFonts w:hint="eastAsia" w:ascii="仿宋_GB2312" w:hAnsi="仿宋_GB2312" w:eastAsia="仿宋_GB2312" w:cs="仿宋_GB2312"/>
          <w:sz w:val="30"/>
          <w:szCs w:val="30"/>
        </w:rPr>
        <w:t>。瞄准传统产业改造升级、新兴产业发展和新型城镇化过程中一线劳动者技术提升、技能深化、职业转换、城市融入的需求，大力发展促进先进技术应用、形式多样、贴近需求的继续教育。主动承接地方继续教育任务，加强与行业和领先企业合作，使转型高校成为地方政府、行业和企业依赖的继续教育基地，成为适应技术加速进步的加油站、顺应传统产业变革的换乘站、促进新兴产业发展的人才池。</w:t>
      </w:r>
    </w:p>
    <w:p w14:paraId="1EA7C73C">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13.深化考试招生制度改革。</w:t>
      </w:r>
      <w:r>
        <w:rPr>
          <w:rFonts w:hint="eastAsia" w:ascii="仿宋_GB2312" w:hAnsi="仿宋_GB2312" w:eastAsia="仿宋_GB2312" w:cs="仿宋_GB2312"/>
          <w:sz w:val="30"/>
          <w:szCs w:val="30"/>
        </w:rPr>
        <w:t>按照国家考试招生制度改革总体方案，积极探索有利于技术技能人才职业发展的考试招生制度。试点高校招收中、高等职业院校优秀应届毕业生和在职优秀技术技能人员，应当将技术技能测试作为录取的主要依据之一，教育部制定有关考试招生改革实施意见。试点高校考试招生改革办法应当报省级教育行政部门批准并以省为单位报教育部备案。招生计划、方案、过程、结果等要按有关规定向社会公开。</w:t>
      </w:r>
    </w:p>
    <w:p w14:paraId="39AB74A4">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14.加强“双师双能型”教师队伍建设。</w:t>
      </w:r>
      <w:r>
        <w:rPr>
          <w:rFonts w:hint="eastAsia" w:ascii="仿宋_GB2312" w:hAnsi="仿宋_GB2312" w:eastAsia="仿宋_GB2312" w:cs="仿宋_GB2312"/>
          <w:sz w:val="30"/>
          <w:szCs w:val="30"/>
        </w:rPr>
        <w:t>调整教师结构，改革教师聘任制度和评价办法，积极引进行业公认专才，聘请企业优秀专业技术人才、管理人才和高技能人才作为专业建设带头人、担任专兼职教师。有计划地选送教师到企业接受培训、挂职工作和实践锻炼。通过教学评价、绩效考核、职务（职称）评聘、薪酬激励、校企交流等制度改革，增强教师提高实践能力的主动性、积极性。</w:t>
      </w:r>
    </w:p>
    <w:p w14:paraId="045B5757">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15.提升以应用为驱动的创新能力。</w:t>
      </w:r>
      <w:r>
        <w:rPr>
          <w:rFonts w:hint="eastAsia" w:ascii="仿宋_GB2312" w:hAnsi="仿宋_GB2312" w:eastAsia="仿宋_GB2312" w:cs="仿宋_GB2312"/>
          <w:sz w:val="30"/>
          <w:szCs w:val="30"/>
        </w:rPr>
        <w:t>积极融入以企业为主体的区域、行业技术创新体系，以解决生产生活的实际问题为导向，广泛开展科技服务和应用性创新活动，努力成为区域和行业的科技服务基地、技术创新基地。通过校企合作、校地合作等协同创新方式加强产业技术技能积累，促进先进技术转移、应用和创新。打通先进技术转移、应用、扩散路径，既与高水平大学和科研院所联动，又与中职、专科层次高职联动，广泛开展面向中小微企业的技术服务。</w:t>
      </w:r>
    </w:p>
    <w:p w14:paraId="7F02585F">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16.完善校内评价制度和信息公开制度。</w:t>
      </w:r>
      <w:r>
        <w:rPr>
          <w:rFonts w:hint="eastAsia" w:ascii="仿宋_GB2312" w:hAnsi="仿宋_GB2312" w:eastAsia="仿宋_GB2312" w:cs="仿宋_GB2312"/>
          <w:sz w:val="30"/>
          <w:szCs w:val="30"/>
        </w:rPr>
        <w:t>建立适应应用型高校的人才培养、科学研究质量标准、内控体系和评估制度，将学习者实践能力、就业质量和创业能力作为评价教育质量的主要标准，将服务行业企业、服务社区作为绩效评价的重要内容，将先进技术转移、创新和转化应用作为科研评价的主要方面。完善本科教学基本状态数据库，建立本科教学质量、毕业生就业质量年度报告发布制度。</w:t>
      </w:r>
    </w:p>
    <w:p w14:paraId="6A3BB8F1">
      <w:pPr>
        <w:keepNext w:val="0"/>
        <w:keepLines w:val="0"/>
        <w:pageBreakBefore w:val="0"/>
        <w:widowControl w:val="0"/>
        <w:kinsoku/>
        <w:wordWrap/>
        <w:overflowPunct/>
        <w:topLinePunct w:val="0"/>
        <w:autoSpaceDE/>
        <w:autoSpaceDN/>
        <w:bidi w:val="0"/>
        <w:adjustRightInd w:val="0"/>
        <w:snapToGrid w:val="0"/>
        <w:spacing w:line="540" w:lineRule="atLeast"/>
        <w:ind w:firstLine="600" w:firstLineChars="200"/>
        <w:textAlignment w:val="auto"/>
        <w:rPr>
          <w:rFonts w:hint="eastAsia" w:ascii="黑体" w:hAnsi="黑体" w:eastAsia="黑体" w:cs="黑体"/>
          <w:sz w:val="30"/>
          <w:szCs w:val="30"/>
        </w:rPr>
      </w:pPr>
      <w:r>
        <w:rPr>
          <w:rFonts w:hint="eastAsia" w:ascii="黑体" w:hAnsi="黑体" w:eastAsia="黑体" w:cs="黑体"/>
          <w:sz w:val="30"/>
          <w:szCs w:val="30"/>
        </w:rPr>
        <w:t>四、配套政策和推进机制</w:t>
      </w:r>
    </w:p>
    <w:p w14:paraId="04F2DEA4">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17.落实省级政府统筹责任。</w:t>
      </w:r>
      <w:r>
        <w:rPr>
          <w:rFonts w:hint="eastAsia" w:ascii="仿宋_GB2312" w:hAnsi="仿宋_GB2312" w:eastAsia="仿宋_GB2312" w:cs="仿宋_GB2312"/>
          <w:sz w:val="30"/>
          <w:szCs w:val="30"/>
        </w:rPr>
        <w:t>各地要结合本地本科高校的改革意愿和办学基础，在充分评估试点方案的基础上确定试点高校。试点高校应综合考虑民办本科高校和独立学院。省级改革试点方案要落实和扩大试点高校的考试招生、教师聘任聘用、教师职务（职称）评审、财务管理等方面的自主权。</w:t>
      </w:r>
    </w:p>
    <w:p w14:paraId="575195E6">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18.加快推进配套制度改革。</w:t>
      </w:r>
      <w:r>
        <w:rPr>
          <w:rFonts w:hint="eastAsia" w:ascii="仿宋_GB2312" w:hAnsi="仿宋_GB2312" w:eastAsia="仿宋_GB2312" w:cs="仿宋_GB2312"/>
          <w:sz w:val="30"/>
          <w:szCs w:val="30"/>
        </w:rPr>
        <w:t>建立高校分类体系，实行分类管理，制定应用型高校的设置标准。制定应用型高校评估标准，开展转型发展成效评估，强化对产业和专业结合程度、实验实习实训水平与专业教育的符合程度、双师型教师团队的比例和质量、校企合作的广度和深度等方面的考察，鼓励行业企业等第三方机构开展质量评价。制定试点高校扩大专业设置自主权的改革方案，支持试点高校依法加快设置适应新产业、新业态、新技术发展的新专业。支持地方制定校企合作相关法规制度和配套政策。</w:t>
      </w:r>
    </w:p>
    <w:p w14:paraId="6AB2AEEA">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19.加大对试点高校的政策支持。</w:t>
      </w:r>
      <w:r>
        <w:rPr>
          <w:rFonts w:hint="eastAsia" w:ascii="仿宋_GB2312" w:hAnsi="仿宋_GB2312" w:eastAsia="仿宋_GB2312" w:cs="仿宋_GB2312"/>
          <w:sz w:val="30"/>
          <w:szCs w:val="30"/>
        </w:rPr>
        <w:t>通过招生计划的增量倾斜、存量调整，支持试点高校符合产业规划、就业质量高和贡献力强的专业扩大招生。将试点高校“双师双能型”高水平师资培养纳入中央和地方相关人才支持项目。在国家公派青年骨干教师出国研修项目中适当增加试点高校选派计划。支持试点高校开展与国外同类高校合作办学，与教育援外、对外投资等领域的国家重大战略项目相结合走出去办学。充分发挥应用技术大学（学院）联盟等作用，与国外相应联盟、协会开展对等合作交流。</w:t>
      </w:r>
    </w:p>
    <w:p w14:paraId="1870BFEF">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20.加大改革试点的经费支持。</w:t>
      </w:r>
      <w:r>
        <w:rPr>
          <w:rFonts w:hint="eastAsia" w:ascii="仿宋_GB2312" w:hAnsi="仿宋_GB2312" w:eastAsia="仿宋_GB2312" w:cs="仿宋_GB2312"/>
          <w:sz w:val="30"/>
          <w:szCs w:val="30"/>
        </w:rPr>
        <w:t>各地可结合实际情况，完善相关财政政策，对改革试点统筹给予倾斜支持，加大对产业发展急需、技术性强、办学成本高和艰苦行业相关专业的支持力度。建立以结果为导向的绩效评价机制，中央财政根据改革试点进展和相关评估评价结果，通过中央财政支持地方高校发展等专项资金，适时对改革成效显著的省（区、市）给予奖励。高校要健全多元投入机制，积极争取行业企业和社会各界支持，优化调整经费支出结构，向教育教学改革、实验实训实习和“双师双能型”教师队伍建设等方面倾斜。积极创新支持方式，探索政府和社会资本合作（PPP）等模式，吸引社会投入。</w:t>
      </w:r>
    </w:p>
    <w:p w14:paraId="1141B977">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21.总结推广改革试点典型经验。</w:t>
      </w:r>
      <w:r>
        <w:rPr>
          <w:rFonts w:hint="eastAsia" w:ascii="仿宋_GB2312" w:hAnsi="仿宋_GB2312" w:eastAsia="仿宋_GB2312" w:cs="仿宋_GB2312"/>
          <w:sz w:val="30"/>
          <w:szCs w:val="30"/>
        </w:rPr>
        <w:t>在省级试点的基础上，总结梳理改革试点的经验和案例，有计划地推广一批试点方案科学、行业企业支持力度较大、实施效果显著的试点典型高校，并加大政策和经费支持力度。教育、发展改革、财政等部门共同建立跟踪检查和评估制度。</w:t>
      </w:r>
    </w:p>
    <w:p w14:paraId="3C2ABF33">
      <w:pPr>
        <w:keepNext w:val="0"/>
        <w:keepLines w:val="0"/>
        <w:pageBreakBefore w:val="0"/>
        <w:widowControl w:val="0"/>
        <w:kinsoku/>
        <w:wordWrap/>
        <w:overflowPunct/>
        <w:topLinePunct w:val="0"/>
        <w:autoSpaceDE/>
        <w:autoSpaceDN/>
        <w:bidi w:val="0"/>
        <w:adjustRightInd w:val="0"/>
        <w:snapToGrid w:val="0"/>
        <w:spacing w:line="540" w:lineRule="atLeas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22.营造良好改革氛围和舆论环境。</w:t>
      </w:r>
      <w:r>
        <w:rPr>
          <w:rFonts w:hint="eastAsia" w:ascii="仿宋_GB2312" w:hAnsi="仿宋_GB2312" w:eastAsia="仿宋_GB2312" w:cs="仿宋_GB2312"/>
          <w:sz w:val="30"/>
          <w:szCs w:val="30"/>
        </w:rPr>
        <w:t>加强对转型发展高校各级领导干部和广大师生员工的思想教育和政策宣传，举办转型试点高校领导干部专题研修班和师资培训班，坚定改革信心，形成改革合力。广泛动员各部门、专家学者和用人单位参与改革方案的设计和政策研究。组织新闻媒体及时宣传报道试点经验。</w:t>
      </w:r>
    </w:p>
    <w:p w14:paraId="6D20DDA3">
      <w:pPr>
        <w:keepNext w:val="0"/>
        <w:keepLines w:val="0"/>
        <w:pageBreakBefore w:val="0"/>
        <w:widowControl w:val="0"/>
        <w:kinsoku/>
        <w:wordWrap/>
        <w:overflowPunct/>
        <w:topLinePunct w:val="0"/>
        <w:autoSpaceDE/>
        <w:autoSpaceDN/>
        <w:bidi w:val="0"/>
        <w:adjustRightInd w:val="0"/>
        <w:snapToGrid w:val="0"/>
        <w:spacing w:line="540" w:lineRule="atLeas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根据本意见精神，教育部、发展改革委、财政部建立协调工作机制，加强对转型发展工作的指导。</w:t>
      </w:r>
    </w:p>
    <w:p w14:paraId="19246208">
      <w:pPr>
        <w:bidi w:val="0"/>
        <w:jc w:val="right"/>
        <w:rPr>
          <w:rFonts w:hint="eastAsia"/>
        </w:rPr>
      </w:pPr>
    </w:p>
    <w:p w14:paraId="79AA00E5">
      <w:pPr>
        <w:bidi w:val="0"/>
        <w:jc w:val="center"/>
        <w:rPr>
          <w:rFonts w:hint="eastAsia"/>
        </w:rPr>
      </w:pPr>
      <w:r>
        <w:rPr>
          <w:rFonts w:hint="eastAsia"/>
          <w:lang w:val="en-US" w:eastAsia="zh-CN"/>
        </w:rPr>
        <w:t xml:space="preserve">                                      </w:t>
      </w:r>
      <w:r>
        <w:rPr>
          <w:rFonts w:hint="eastAsia"/>
        </w:rPr>
        <w:t>教　育　部   </w:t>
      </w:r>
    </w:p>
    <w:p w14:paraId="15796653">
      <w:pPr>
        <w:bidi w:val="0"/>
        <w:jc w:val="center"/>
        <w:rPr>
          <w:rFonts w:hint="eastAsia"/>
        </w:rPr>
      </w:pPr>
      <w:r>
        <w:rPr>
          <w:rFonts w:hint="eastAsia"/>
          <w:lang w:val="en-US" w:eastAsia="zh-CN"/>
        </w:rPr>
        <w:t xml:space="preserve">                                      </w:t>
      </w:r>
      <w:r>
        <w:rPr>
          <w:rFonts w:hint="eastAsia"/>
        </w:rPr>
        <w:t>发展改革委   </w:t>
      </w:r>
    </w:p>
    <w:p w14:paraId="65AEB56A">
      <w:pPr>
        <w:bidi w:val="0"/>
        <w:jc w:val="center"/>
        <w:rPr>
          <w:rFonts w:hint="eastAsia"/>
        </w:rPr>
      </w:pPr>
      <w:r>
        <w:rPr>
          <w:rFonts w:hint="eastAsia"/>
          <w:lang w:val="en-US" w:eastAsia="zh-CN"/>
        </w:rPr>
        <w:t xml:space="preserve">                                      </w:t>
      </w:r>
      <w:r>
        <w:rPr>
          <w:rFonts w:hint="eastAsia"/>
        </w:rPr>
        <w:t>财　政　部  </w:t>
      </w:r>
    </w:p>
    <w:p w14:paraId="6C623CE7">
      <w:pPr>
        <w:bidi w:val="0"/>
        <w:jc w:val="right"/>
        <w:rPr>
          <w:rFonts w:hint="eastAsia"/>
        </w:rPr>
      </w:pPr>
      <w:r>
        <w:rPr>
          <w:rFonts w:hint="eastAsia"/>
        </w:rPr>
        <w:t>2015年10月21日</w:t>
      </w:r>
    </w:p>
    <w:p w14:paraId="35BCB78C">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br w:type="page"/>
      </w:r>
    </w:p>
    <w:p w14:paraId="63A2B0E1">
      <w:pPr>
        <w:pStyle w:val="2"/>
        <w:numPr>
          <w:ilvl w:val="0"/>
          <w:numId w:val="1"/>
        </w:numPr>
        <w:bidi w:val="0"/>
        <w:ind w:left="0" w:leftChars="0" w:firstLine="640" w:firstLineChars="200"/>
        <w:rPr>
          <w:rFonts w:hint="eastAsia"/>
        </w:rPr>
      </w:pPr>
      <w:bookmarkStart w:id="159" w:name="_Toc1155"/>
      <w:bookmarkStart w:id="160" w:name="_Toc1978"/>
      <w:bookmarkStart w:id="161" w:name="_Toc18437"/>
      <w:bookmarkStart w:id="162" w:name="_Toc26025"/>
      <w:r>
        <w:rPr>
          <w:rFonts w:hint="eastAsia"/>
        </w:rPr>
        <w:t>国务院印发</w:t>
      </w:r>
      <w:bookmarkEnd w:id="159"/>
      <w:bookmarkEnd w:id="160"/>
      <w:bookmarkEnd w:id="161"/>
      <w:r>
        <w:rPr>
          <w:rFonts w:hint="eastAsia"/>
        </w:rPr>
        <w:t>《国家职业教育改革实施方案》的通知</w:t>
      </w:r>
      <w:bookmarkEnd w:id="162"/>
    </w:p>
    <w:p w14:paraId="23206BF5">
      <w:pPr>
        <w:numPr>
          <w:numId w:val="0"/>
        </w:numPr>
        <w:ind w:leftChars="200"/>
        <w:rPr>
          <w:rFonts w:hint="eastAsia"/>
        </w:rPr>
      </w:pPr>
    </w:p>
    <w:p w14:paraId="2B7E30BD">
      <w:pPr>
        <w:numPr>
          <w:numId w:val="0"/>
        </w:numPr>
        <w:jc w:val="center"/>
        <w:rPr>
          <w:rFonts w:hint="eastAsia"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国务院印发</w:t>
      </w:r>
    </w:p>
    <w:p w14:paraId="7B2C66F6">
      <w:pPr>
        <w:numPr>
          <w:numId w:val="0"/>
        </w:numPr>
        <w:jc w:val="center"/>
        <w:rPr>
          <w:rFonts w:hint="eastAsia"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《国家职业教育改革实施方案》</w:t>
      </w:r>
      <w:r>
        <w:rPr>
          <w:rFonts w:hint="eastAsia" w:asciiTheme="majorEastAsia" w:hAnsiTheme="majorEastAsia" w:eastAsiaTheme="majorEastAsia" w:cstheme="majorEastAsia"/>
          <w:b/>
          <w:bCs/>
          <w:sz w:val="36"/>
          <w:szCs w:val="36"/>
        </w:rPr>
        <w:t>的通知</w:t>
      </w:r>
    </w:p>
    <w:p w14:paraId="3BE2DD89">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right"/>
        <w:textAlignment w:val="auto"/>
        <w:rPr>
          <w:rFonts w:hint="eastAsia" w:ascii="仿宋_GB2312" w:hAnsi="仿宋_GB2312" w:eastAsia="仿宋_GB2312" w:cs="仿宋_GB2312"/>
          <w:sz w:val="30"/>
          <w:szCs w:val="30"/>
        </w:rPr>
      </w:pPr>
    </w:p>
    <w:p w14:paraId="1B974113">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right"/>
        <w:textAlignment w:val="auto"/>
        <w:rPr>
          <w:rFonts w:hint="eastAsia" w:ascii="楷体" w:hAnsi="楷体" w:eastAsia="楷体" w:cs="楷体"/>
          <w:sz w:val="30"/>
          <w:szCs w:val="30"/>
          <w:lang w:eastAsia="zh-CN"/>
        </w:rPr>
      </w:pPr>
      <w:r>
        <w:rPr>
          <w:rFonts w:hint="eastAsia" w:ascii="楷体" w:hAnsi="楷体" w:eastAsia="楷体" w:cs="楷体"/>
          <w:sz w:val="30"/>
          <w:szCs w:val="30"/>
        </w:rPr>
        <w:t>国发〔2019〕4号</w:t>
      </w:r>
    </w:p>
    <w:p w14:paraId="74FD61D4">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0" w:firstLineChars="0"/>
        <w:textAlignment w:val="auto"/>
        <w:rPr>
          <w:rFonts w:hint="eastAsia" w:ascii="楷体" w:hAnsi="楷体" w:eastAsia="楷体" w:cs="楷体"/>
          <w:sz w:val="30"/>
          <w:szCs w:val="30"/>
        </w:rPr>
      </w:pPr>
    </w:p>
    <w:p w14:paraId="2C946764">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0" w:firstLineChars="0"/>
        <w:textAlignment w:val="auto"/>
        <w:rPr>
          <w:rFonts w:hint="eastAsia" w:ascii="楷体" w:hAnsi="楷体" w:eastAsia="楷体" w:cs="楷体"/>
          <w:sz w:val="30"/>
          <w:szCs w:val="30"/>
        </w:rPr>
      </w:pPr>
      <w:r>
        <w:rPr>
          <w:rFonts w:hint="eastAsia" w:ascii="楷体" w:hAnsi="楷体" w:eastAsia="楷体" w:cs="楷体"/>
          <w:sz w:val="30"/>
          <w:szCs w:val="30"/>
        </w:rPr>
        <w:t>各省、自治区、直辖市人民政府，国务院各部委、各直属机构：</w:t>
      </w:r>
    </w:p>
    <w:p w14:paraId="2B5FF64B">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现将《国家职业教育改革实施方案》印发给你们，请认真贯彻执行。</w:t>
      </w:r>
    </w:p>
    <w:p w14:paraId="4D8CC4F9">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国务院</w:t>
      </w:r>
    </w:p>
    <w:p w14:paraId="494AE448">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righ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2019年1月24日</w:t>
      </w:r>
    </w:p>
    <w:p w14:paraId="10C49897">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02" w:firstLineChars="200"/>
        <w:jc w:val="center"/>
        <w:textAlignment w:val="auto"/>
        <w:rPr>
          <w:rFonts w:hint="eastAsia" w:ascii="仿宋_GB2312" w:hAnsi="仿宋_GB2312" w:eastAsia="仿宋_GB2312" w:cs="仿宋_GB2312"/>
          <w:b/>
          <w:bCs/>
          <w:sz w:val="30"/>
          <w:szCs w:val="30"/>
          <w:highlight w:val="none"/>
        </w:rPr>
      </w:pPr>
    </w:p>
    <w:p w14:paraId="620D5135">
      <w:pPr>
        <w:numPr>
          <w:ilvl w:val="0"/>
          <w:numId w:val="0"/>
        </w:numPr>
        <w:jc w:val="center"/>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t>国家职业教育改革实施方案</w:t>
      </w:r>
    </w:p>
    <w:p w14:paraId="7A2508DB">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p>
    <w:p w14:paraId="048AB8DA">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职业教育与普通教育是两种不同教育类型，具有同等重要地位。改革开放以来，职业教育为我国经济社会发展提供了有力的人才和智力支撑，现代职业教育体系框架全面建成，服务经济社会发展能力和社会吸引力不断增强，具备了基本实现现代化的诸多有利条件和良好工作基础。随着我国进入新的发展阶段，产业升级和经济结构调整不断加快，各行各业对技术技能人才的需求越来越紧迫，职业教育重要地位和作用越来越凸显。但是，与发达国家相比，与建设现代化经济体系、建设教育强国的要求相比，我国职业教育还存在着体系建设不够完善、职业技能实训基地建设有待加强、制度标准不够健全、企业参与办学的动力不足、有利于技术技能人才成长的配套政策尚待完善、办学和人才培养质量水平参差不齐等问题，到了必须下大力气抓好的时候。没有职业教育现代化就没有教育现代化。为贯彻全国教育大会精神，进一步办好新时代职业教育，落实《中华人民共和国职业教育法》，制定本实施方案。</w:t>
      </w:r>
    </w:p>
    <w:p w14:paraId="65BE0DE0">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highlight w:val="none"/>
        </w:rPr>
        <w:t>总体要求与目标：</w:t>
      </w:r>
      <w:r>
        <w:rPr>
          <w:rFonts w:hint="eastAsia" w:ascii="仿宋_GB2312" w:hAnsi="仿宋_GB2312" w:eastAsia="仿宋_GB2312" w:cs="仿宋_GB2312"/>
          <w:sz w:val="30"/>
          <w:szCs w:val="30"/>
          <w:highlight w:val="none"/>
        </w:rPr>
        <w:t>坚持以习近平新时代中国特色社会主义思想为指导，把职业教育摆在教育改革创新和经济社会发展中更加突出的位置。牢固树立新发展理念，服务建设现代化经济体系和实现更高质量更充分就业需要，对接科技发展趋势和市场需求，完善职业教育和培训体系，优化学校、专业布局，深化办学体制改革和育人机制改革，以促进就业和适应产业发展需求为导向，鼓励和支持社会各界特别是企业积极支持职业教育，着力培养高素质劳动者和技术技能人才。经过5—10年左右时间，职业教育基本完成由政府举办为主向政府统筹管理、社会多元办学的格局转变，由追求规模扩张向提高质量转变，由参照普通教育办学模式向企业社会参与、专业特色鲜明的类型教育</w:t>
      </w:r>
      <w:r>
        <w:rPr>
          <w:rFonts w:hint="eastAsia" w:ascii="仿宋_GB2312" w:hAnsi="仿宋_GB2312" w:eastAsia="仿宋_GB2312" w:cs="仿宋_GB2312"/>
          <w:sz w:val="30"/>
          <w:szCs w:val="30"/>
        </w:rPr>
        <w:t>转变，大幅提升新时代职业教育现代化水平，为促进经济社会发展和提高国家竞争力提供优质人才资源支撑。</w:t>
      </w:r>
    </w:p>
    <w:p w14:paraId="2AFA6700">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b/>
          <w:bCs/>
          <w:sz w:val="30"/>
          <w:szCs w:val="30"/>
        </w:rPr>
        <w:t>具体指标：</w:t>
      </w:r>
      <w:r>
        <w:rPr>
          <w:rFonts w:hint="eastAsia" w:ascii="仿宋_GB2312" w:hAnsi="仿宋_GB2312" w:eastAsia="仿宋_GB2312" w:cs="仿宋_GB2312"/>
          <w:sz w:val="30"/>
          <w:szCs w:val="30"/>
        </w:rPr>
        <w:t>到2022年，职业院校教学条件基本达标，一大批普通本科高等学校向应用型转变，建设50所高水平高等职业学校和150个骨干专业（群）。建成覆盖大部分行业领域、具有国际先进水平的中国职业教育标准体系。企业参与职业教育的积极性有较大提升，培育数以万计的产教融合型企业，打造一批优秀职业教育培训评价组织，推动建设300个具有辐射引领作用的高水平专业化产教融合实训基地。职业院校实践性教学课时原则上占总课时一半以上，顶岗实习时间一般为6个月。“双师型”教师（同时具备理论教学和实践教学能力的教师）占专业课教师总</w:t>
      </w:r>
      <w:r>
        <w:rPr>
          <w:rFonts w:hint="eastAsia" w:ascii="仿宋_GB2312" w:hAnsi="仿宋_GB2312" w:eastAsia="仿宋_GB2312" w:cs="仿宋_GB2312"/>
          <w:sz w:val="30"/>
          <w:szCs w:val="30"/>
          <w:highlight w:val="none"/>
        </w:rPr>
        <w:t>数超过一半，分专业建设一批国家级职业教育教师教学创新团队。从2019年开始，在职业院校、应用型本科高校启动“学历证书+若干职业技能等级证书”制度试点（以下称1+X证书制度试点）工作。</w:t>
      </w:r>
    </w:p>
    <w:p w14:paraId="1DA32895">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黑体" w:hAnsi="黑体" w:eastAsia="黑体" w:cs="黑体"/>
          <w:sz w:val="30"/>
          <w:szCs w:val="30"/>
        </w:rPr>
      </w:pPr>
      <w:r>
        <w:rPr>
          <w:rFonts w:hint="eastAsia" w:ascii="黑体" w:hAnsi="黑体" w:eastAsia="黑体" w:cs="黑体"/>
          <w:sz w:val="30"/>
          <w:szCs w:val="30"/>
        </w:rPr>
        <w:t>一、完善国家职业教育制度体系</w:t>
      </w:r>
    </w:p>
    <w:p w14:paraId="66A692DA">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（一）健全国家职业教育制度框架。</w:t>
      </w:r>
    </w:p>
    <w:p w14:paraId="68A79803">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把握好正确的改革方向，按照“管好两端、规范中间、书证融通、办学多元”的原则，严把教学标准和毕业学生质量标准两个关口。将标准化建设作为统领职业教育发展的突破口，完善职业教育体系，为服务现代制造业、现代服务业、现代农业发展和职业教育现代化提供制度保障与人才支持。建立健全学校设置、师资队伍、教学教材、信息化建设、安全设施等办学标准，引领职业教育服务发展、促进就业创业。落实好立德树人根本任务，健全德技并修、工学结合的育人机制，完善评价机制，规范人才培养全过程。深化产教融合、校企合作，育训结合，健全多元化办学格局，推动企业深度参与协同育人，扶持鼓励企业和社会力量参与举办各类职业教育。推进资历框架建设，探索实现学历证书和职业技能等级证书互通衔接。</w:t>
      </w:r>
    </w:p>
    <w:p w14:paraId="7766D1FD">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w:t>
      </w:r>
      <w:r>
        <w:rPr>
          <w:rFonts w:hint="eastAsia" w:ascii="仿宋_GB2312" w:hAnsi="仿宋_GB2312" w:eastAsia="仿宋_GB2312" w:cs="仿宋_GB2312"/>
          <w:b/>
          <w:bCs/>
          <w:sz w:val="30"/>
          <w:szCs w:val="30"/>
        </w:rPr>
        <w:t>二）提高中等职业教育发展水平。</w:t>
      </w:r>
    </w:p>
    <w:p w14:paraId="570BC898">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优化教育结构，把发展中等职业教育作为普及高中阶段教育和建设中国特色职业教育体系的重要基础，保持高中阶段教育职普比大体相当，使绝大多数城乡新增劳动力接受高中阶段教育。改善中等职业学校基本办学条件。加强省级统筹，建好办好一批县域职教中心，重点支持集中连片特困地区每个地（市、州、盟）原则上至少建设一所符合当地经济社会发展和技术技能人才培养需要的中等职业学校。指导各地优化中等职业学校布局结构，科学配置并做大做强职业教育资源。加大对民族地区、贫困地区和残疾人职业教育的政策、金融支持力度，落实职业教育东西协作行动计划，办好内地少数民族中职班。完善招生机制，建立中等职业学校和普通高中统一招生平台，精准服务区域发展需求。积极招收初高中毕业未升学学生、退役军人、退役运动员、下岗职工、返乡农民工等接受中等职业教育；服务乡村振兴战略，为广大农村培养以新型职业农民为主体的农村实用人才。发挥中等职业学校作用，帮助部分学业困难学生按规定在职业学校完成义务教育，并接受部分职业技能学习。</w:t>
      </w:r>
    </w:p>
    <w:p w14:paraId="175C6CBB">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鼓励中等职业学校联合中小学开展劳动和职业启蒙教育，将动手实践内容纳入中小学相关课程和学生综合素质评价。</w:t>
      </w:r>
    </w:p>
    <w:p w14:paraId="73495108">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（三）推进高等职业教育高质量发展。</w:t>
      </w:r>
    </w:p>
    <w:p w14:paraId="4C0F9B57">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把发展高等职业教育作为优化高等教育结构和培养大国工匠、能工巧匠的重要方式，使城乡新增劳动力更多接受高等教育。高等职业学校要培养服务区域发展的高素质技术技能人才，重点服务企业特别是中小微企业的技术研发和产品升级，加强社区教育和终身学习服务。建立“职教高考”制度，完善“文化素质+职业技能”的考试招生办法，提高生源质量，为学生接受高等职业教育提供多种入学方式和学习方式。在学前教育、护理、养老服务、健康服务、现代服务业等领域，扩大对初中毕业生实行中高职贯通培养的招生规模。启动实施中国特色高水平高等职业学校和专业建设计划，建设一批引领改革、支撑发展、中国特色、世界水平的高等职业学校和骨干专业（群）。根据高等学校设置制度规定，将符合条件的技师学院纳入高等学校序列。</w:t>
      </w:r>
    </w:p>
    <w:p w14:paraId="29A983E0">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（四）完善高层次应用型人才培养体系。</w:t>
      </w:r>
    </w:p>
    <w:p w14:paraId="5BD27A56">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完善学历教育与培训并重的现代职业教育体系，畅通技术技能人才成长渠道。发展以职业需求为导向、以实践能力培养为重点、以产学研用结合为途径的专业学位研究生培养模式，加强专业学位硕士研究生培养。推动具备条件的普通本科高校向应用型转变，鼓励有条件的普通高校开办应用技术类型专业或课程。开展本科层次职业教育试点。制定中国技能大赛、全国职业院校技能大赛、世界技能大赛获奖选手等免试入学政策，探索长学制培养高端技术技能人才。服务军民融合发展，把军队相关的职业教育纳入国家职业教育大体系，共同做好面向现役军人的教育培训，支持其在服役期间取得多类职业技能等级证书，提升技术技能水平。落实好定向培养直招士官政策，推动地方院校与军队院校有效对接，推动优质职业教育资源向军事人才培养开放，建立军地网络教育资源共享机制。制订具体政策办法，支持适合的退役军人进入职业院校和普通本科高校接受教育和培训，鼓励支持设立退役军人教育培训集团（联盟），推动退役、培训、就业有机衔接，为促进退役军人特别是退役士兵就业创业作出贡献。</w:t>
      </w:r>
    </w:p>
    <w:p w14:paraId="74B46513">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黑体" w:hAnsi="黑体" w:eastAsia="黑体" w:cs="黑体"/>
          <w:sz w:val="30"/>
          <w:szCs w:val="30"/>
        </w:rPr>
      </w:pPr>
      <w:r>
        <w:rPr>
          <w:rFonts w:hint="eastAsia" w:ascii="黑体" w:hAnsi="黑体" w:eastAsia="黑体" w:cs="黑体"/>
          <w:sz w:val="30"/>
          <w:szCs w:val="30"/>
        </w:rPr>
        <w:t>二、构建职业教育国家标准</w:t>
      </w:r>
    </w:p>
    <w:p w14:paraId="3064195B">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（五）完善教育教学相关标准。</w:t>
      </w:r>
    </w:p>
    <w:p w14:paraId="21242F4A">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发挥标准在职业教育质量提升中的基础性作用。按照专业设置与产业需求对接、课程内容与职业标准对接、教学过程与生产过程对接的要求，完善中等、高等职业学校设置标准，规范职业院校设置；实施教师和校长专业标准，提升职业院校教学管理和教学实践能力。持续更新并推进专业目录、专业教学标准、课程标准、顶岗实习标准、实训条件建设标准（仪器设备配备规范）建设和在职业院校落地实施。巩固和发展国务院教育行政部门联合行业制定国家教学标准、职业院校依据标准自主制订人才培养方案的工作格局。</w:t>
      </w:r>
    </w:p>
    <w:p w14:paraId="6A4DC7E7">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（六）启动1+X证书制度试点工作。</w:t>
      </w:r>
    </w:p>
    <w:p w14:paraId="6851D44B">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深化复合型技术技能人才培养培训模式改革，借鉴国际职业教育培训普遍做法，制订工作方案和具体管理办法，启动1+X证书制度试点工作。试点工作要进一步发挥好学历证书作用，夯实学生可持续发展基础，鼓励职业院校学生在获得学历证书的同时，积极取得多类职业技能等级证书，拓展就业创业本领，缓解结构性就业矛盾。国务院人力资源社会保障行政部门、教育行政部门在职责范围内，分别负责管理监督考核院校外、院校内职业技能等级证书的实施（技工院校内由人力资源社会保障行政部门负责），国务院人力资源社会保障行政部门组织制定职业标准，国务院教育行政部门依照职业标准牵头组织开发教学等相关标准。院校内培训可面向社会人群，院校外培训也可面向在校学生。各类职业技能等级证书具有同等效力，持有证书人员享受同等待遇。院校内实施的职业技能等级证书分为初级、中级、高级，是职业技能水平的凭证，反映职业活动和个人职业生涯发展所需要的综合能力。</w:t>
      </w:r>
    </w:p>
    <w:p w14:paraId="3CF4594D">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（七）开展高质量职业培训。</w:t>
      </w:r>
    </w:p>
    <w:p w14:paraId="746BFB01">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落实职业院校实施学历教育与培训并举的法定职责，按照育训结合、长短结合、内外结合的要求，面向在校学生和全体社会成员开展职业培训。自2019年开始，围绕现代农业、先进制造业、现代服务业、战略性新兴产业，推动职业院校在10个左右技术技能人才紧缺领域大力开展职业培训。引导行业企业深度参与技术技能人才培养培训，促进职业院校加强专业建设、深化课程改革、增强实训内容、提高师资水平，全面提升教育教学质量。各级政府要积极支持职业培训，行政部门要简政放权并履行好监管职责，相关下属机构要优化服务，对于违规收取费用的要严肃处理。畅通技术技能人才职业发展通道，鼓励其持续获得适应经济社会发展需要的职业培训证书，引导和支持企业等用人单位落实相关待遇。对取得职业技能等级证书的离校未就业高校毕业生，按规定落实职业培训补贴政策。</w:t>
      </w:r>
    </w:p>
    <w:p w14:paraId="07A97724">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（八）实现学习成果的认定、积累和转换。</w:t>
      </w:r>
    </w:p>
    <w:p w14:paraId="6FC32615">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加快推进职业教育国家“学分银行”建设，从2019年开始，探索建立职业教育个人学习账号，实现学习成果可追溯、可查询、可转换。有序开展学历证书和职业技能等级证书所体现的学习成果的认定、积累和转换，为技术技能人才持续成长拓宽通道。职业院校对取得若干职业技能等级证书的社会成员，支持其根据证书等级和类别免修部分课程，在完成规定内容学习后依法依规取得学历证书。对接受职业院校学历教育并取得毕业证书的学生，在参加相应的职业技能等级证书考试时，可免试部分内容。从2019年起，在有条件的地区和高校探索实施试点工作，制定符合国情的国家资历框架。</w:t>
      </w:r>
    </w:p>
    <w:p w14:paraId="15536F4B">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黑体" w:hAnsi="黑体" w:eastAsia="黑体" w:cs="黑体"/>
          <w:sz w:val="30"/>
          <w:szCs w:val="30"/>
        </w:rPr>
      </w:pPr>
      <w:r>
        <w:rPr>
          <w:rFonts w:hint="eastAsia" w:ascii="黑体" w:hAnsi="黑体" w:eastAsia="黑体" w:cs="黑体"/>
          <w:sz w:val="30"/>
          <w:szCs w:val="30"/>
        </w:rPr>
        <w:t>三、促进产教融合校企“双元”育人</w:t>
      </w:r>
    </w:p>
    <w:p w14:paraId="62E09A71">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（九）坚持知行合一、工学结合。</w:t>
      </w:r>
    </w:p>
    <w:p w14:paraId="352249FD">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借鉴“双元制”等模式，总结现代学徒制和企业新型学徒制试点经验，校企共同研究制定人才培养方案，及时将新技术、新工艺、新规范纳入教学标准和教学内容，强化学生实习实训。健全专业设置定期评估机制，强化地方引导本区域职业院校优化专业设置的职责，原则上每5年修订1次职业院校专业目录，学校依据目录灵活自主设置专业，每年调整1次专业。健全专业教学资源库，建立共建共享平台的资源认证标准和交易机制，进一步扩大优质资源覆盖面。遴选认定一大批职业教育在线精品课程，建设一大批校企“双元”合作开发的国家规划教材，倡导使用新型活页式、工作手册式教材并配套开发信息化资源。每3年修订1次教材，其中专业教材随信息技术发展和产业升级情况及时动态更新。适应“互联网+职业教育”发展需求，运用现代信息技术改进教学方式方法，推进虚拟工厂等网络学习空间建设和普遍应用。</w:t>
      </w:r>
    </w:p>
    <w:p w14:paraId="06A5EF27">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b/>
          <w:bCs/>
          <w:sz w:val="30"/>
          <w:szCs w:val="30"/>
        </w:rPr>
        <w:t>（十）推动校企全面加强深度合作。</w:t>
      </w:r>
    </w:p>
    <w:p w14:paraId="33365152">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职业院校应当根据自身特点和人才培养需要，主动与具备条件的企业在人才培养、技术创新、就业创业、社会服务、文化传承等方面开展合作。学校积极为企业提供所需的课程、师资等资源，企业应当依法履行实施职业教育的义务，利用资本、技术、知识、设施、设备和管理等要素参与校企合作，促进人力资源开发。校企合作中，学校可从中获得智力、专利、教育、劳务等报酬，具体分配由学校按规定自行处理。在开展国家产教融合建设试点基础上，建立产教融合型企业认证制度，对进入目录的产教融合型企业给予“金融+财政+土地+信用”的组合式激励，并按规定落实相关税收政策。试点企业兴办职业教育的投资符合条件的，可按投资额一定比例抵免该企业当年应缴教育费附加和地方教育附加。厚植企业承担职业教育责任的社会环境，推动职业院校和行业企业形成命运共同体。</w:t>
      </w:r>
    </w:p>
    <w:p w14:paraId="6AD6331E">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（十一）打造一批高水平实训基地。</w:t>
      </w:r>
    </w:p>
    <w:p w14:paraId="5C654C64">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加大政策引导力度，充分调动各方面深化职业教育改革创新的积极性，带动各级政府、企业和职业院校建设一批资源共享，集实践教学、社会培训、企业真实生产和社会技术服务于一体的高水平职业教育实训基地。面向先进制造业等技术技能人才紧缺领域，统筹多种资源，建设若干具有辐射引领作用的高水平专业化产教融合实训基地，推动开放共享，辐射区域内学校和企业；鼓励职业院校建设或校企共建一批校内实训基地，提升重点专业建设和校企合作育人水平。积极吸引企业和社会力量参与，指导各地各校借鉴德国、日本、瑞士等国家经验，探索创新实训基地运营模式。提高实训基地规划、管理水平，为社会公众、职业院校在校生取得职业技能等级证书和企业提升人力资源水平提供有力支撑。</w:t>
      </w:r>
    </w:p>
    <w:p w14:paraId="61549C4D">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（十二）多措并举打造“双师型”教师队伍。</w:t>
      </w:r>
    </w:p>
    <w:p w14:paraId="3760D7E1">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从2019年起，职业院校、应用型本科高校相关专业教师原则上从具有3年以上企业工作经历并具有高职以上学历的人员中公开招聘，特殊高技能人才（含具有高级工以上职业资格人员）可适当放宽学历要求，2020年起基本不再从应届毕业生中招聘。加强职业技术师范院校建设，优化结构布局，引导一批高水平工科学校举办职业技术师范教育。实施职业院校教师素质提高计划，建立100个“双师型”教师培养培训基地，职业院校、应用型本科高校教师每年至少1个月在企业或实训基地实训，落实教师5年一周期的全员轮训制度。探索组建高水平、结构化教师教学创新团队，教师分工协作进行模块化教学。定期组织选派职业院校专业骨干教师赴国外研修访学。在职业院校实行高层次、高技能人才以直接考察的方式公开招聘。建立健全职业院校自主聘任兼职教师的办法，推动企业工程技术人员、高技能人才和职业院校教师双向流动。职业院校通过校企合作、技术服务、社会培训、自办企业等所得收入，可按一定比例作为绩效工资来源。</w:t>
      </w:r>
    </w:p>
    <w:p w14:paraId="31C1C927">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黑体" w:hAnsi="黑体" w:eastAsia="黑体" w:cs="黑体"/>
          <w:sz w:val="30"/>
          <w:szCs w:val="30"/>
        </w:rPr>
      </w:pPr>
      <w:r>
        <w:rPr>
          <w:rFonts w:hint="eastAsia" w:ascii="黑体" w:hAnsi="黑体" w:eastAsia="黑体" w:cs="黑体"/>
          <w:sz w:val="30"/>
          <w:szCs w:val="30"/>
        </w:rPr>
        <w:t>四、建设多元办学格局</w:t>
      </w:r>
    </w:p>
    <w:p w14:paraId="6597D9F3">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（十三）推动企业和社会力量举办高质量职业教育。</w:t>
      </w:r>
    </w:p>
    <w:p w14:paraId="0ADFB92B">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各级政府部门要深化“放管服”改革，加快推进职能转变，由注重“办”职业教育向“管理与服务”过渡。政府主要负责规划战略、制定政策、依法依规监管。发挥企业重要办学主体作用，鼓励有条件的企业特别是大企业举办高质量职业教育，各级人民政府可按规定给予适当支持。完善企业经营管理和技术人员与学校领导、骨干教师相互兼职兼薪制度。2020年初步建成300个示范性职业教育集团（联盟），带动中小企业参与。支持和规范社会力量兴办职业教育培训，鼓励发展股份制、混合所有制等职业院校和各类职业培训机构。建立公开透明规范的民办职业教育准入、审批制度，探索民办职业教育负面清单制度，建立健全退出机制。</w:t>
      </w:r>
    </w:p>
    <w:p w14:paraId="5EF765F8">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（十四）做优职业教育培训评价组织。</w:t>
      </w:r>
    </w:p>
    <w:p w14:paraId="3512E6D8">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职业教育包括职业学校教育和职业培训，职业院校和应用型本科高校按照国家教学标准和规定职责完成教学任务和职业技能人才培养。同时，也必须调动社会力量，补充校园不足，助力校园办学。能够依据国家有关法规和职业标准、教学标准完成的职业技能培训，要更多通过职业教育培训评价组织（以下简称培训评价组织）等参与实施。政府通过放宽准入，严格末端监督执法，严格控制数量，扶优、扶大、扶强，保证培训质量和学生能力水平。要按照在已成熟的品牌中遴选一批、在成长中的品牌中培育一批、在有需要但还没有建立项目的领域中规划一批的原则，以社会化机制公开招募并择优遴选培训评价组织，优先从制订过国家职业标准并完成标准教材编写，具有专家、师资团队、资金实力和5年以上优秀培训业绩的机构中选择。培训评价组织应对接职业标准，与国际先进标准接轨，按有关规定开发职业技能等级标准，负责实施职业技能考核、评价和证书发放。政府部门要加强监管，防止出现乱培训、滥发证现象。行业协会要积极配合政府，为培训评价组织提供好服务环境支持，不得以任何方式收取费用或干预企业办学行为。</w:t>
      </w:r>
    </w:p>
    <w:p w14:paraId="798E2D0F">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黑体" w:hAnsi="黑体" w:eastAsia="黑体" w:cs="黑体"/>
          <w:sz w:val="30"/>
          <w:szCs w:val="30"/>
        </w:rPr>
      </w:pPr>
      <w:r>
        <w:rPr>
          <w:rFonts w:hint="eastAsia" w:ascii="黑体" w:hAnsi="黑体" w:eastAsia="黑体" w:cs="黑体"/>
          <w:sz w:val="30"/>
          <w:szCs w:val="30"/>
        </w:rPr>
        <w:t>五、完善技术技能人才保障政策</w:t>
      </w:r>
    </w:p>
    <w:p w14:paraId="659FFAB9">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（十五）提高技术技能人才待遇水平。</w:t>
      </w:r>
    </w:p>
    <w:p w14:paraId="79809B89">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支持技术技能人才凭技能提升待遇，鼓励企业职务职级晋升和工资分配向关键岗位、生产一线岗位和紧缺急需的高层次、高技能人才倾斜。建立国家技术技能大师库，鼓励技术技能大师建立大师工作室，并按规定给予政策和资金支持，支持技术技能大师到职业院校担任兼职教师，参与国家重大工程项目联合攻关。积极推动职业院校毕业生在落户、就业、参加机关事业单位招聘、职称评审、职级晋升等方面与普通高校毕业生享受同等待遇。逐步提高技术技能人才特别是技术工人收入水平和地位。机关和企事业单位招用人员不得歧视职业院校毕业生。国务院人力资源社会保障行政部门会同有关部门，适时组织清理调整对技术技能人才的歧视政策，推动形成人人皆可成才、人人尽展其才的良好环境。按照国家有关规定加大对职业院校参加有关技能大赛成绩突出毕业生的表彰奖励力度。办好职业教育活动周和世界青年技能日宣传活动，深入开展“大国工匠进校园”、“劳模进校园”、“优秀职校生校园分享”等活动，宣传展示大国工匠、能工巧匠和高素质劳动者的事迹和形象，培育和传承好工匠精神。</w:t>
      </w:r>
    </w:p>
    <w:p w14:paraId="7F7724DC">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（十六）健全经费投入机制。</w:t>
      </w:r>
    </w:p>
    <w:p w14:paraId="5156AA34">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各级政府要建立与办学规模、培养成本、办学质量等相适应的财政投入制度，地方政府要按规定制定并落实职业院校生均经费标准或公用经费标准。在保障教育合理投入的同时，优化教育支出结构，新增教育经费要向职业教育倾斜。鼓励社会力量捐资、出资兴办职业教育，拓宽办学筹资渠道。进一步完善中等职业学校生均拨款制度，各地中等职业学校生均财政拨款水平可适当高于当地普通高中。各地在继续巩固落实好高等职业教育生均财政拨款水平达到12000元的基础上，根据发展需要和财力可能逐步提高拨款水平。组织实施好现代职业教育质量提升计划、产教融合工程等。经费投入要进一步突出改革导向，支持校企合作，注重向中西部、贫困地区和民族地区倾斜。进一步扩大职业院校助学金覆盖面，完善补助标准动态调整机制，落实对建档立卡等家庭经济困难学生的倾斜政策，健全职业教育奖学金制度。</w:t>
      </w:r>
    </w:p>
    <w:p w14:paraId="42A0B63D">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黑体" w:hAnsi="黑体" w:eastAsia="黑体" w:cs="黑体"/>
          <w:sz w:val="30"/>
          <w:szCs w:val="30"/>
        </w:rPr>
      </w:pPr>
      <w:r>
        <w:rPr>
          <w:rFonts w:hint="eastAsia" w:ascii="黑体" w:hAnsi="黑体" w:eastAsia="黑体" w:cs="黑体"/>
          <w:sz w:val="30"/>
          <w:szCs w:val="30"/>
        </w:rPr>
        <w:t>六、加强职业教育办学质量督导评价</w:t>
      </w:r>
    </w:p>
    <w:p w14:paraId="2B5E6978">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（十七）建立健全职业教育质量评价和督导评估制度。</w:t>
      </w:r>
    </w:p>
    <w:p w14:paraId="23EDE6FD">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以学习者的职业道德、技术技能水平和就业质量，以及产教融合、校企合作水平为核心，建立职业教育质量评价体系。定期对职业技能等级证书有关工作进行“双随机、一公开”的抽查和监督，从2019年起，对培训评价组织行为和职业院校培训质量进行监测和评估。实施职业教育质量年度报告制度，报告向社会公开。完善政府、行业、企业、职业院校等共同参与的质量评价机制，积极支持第三方机构开展评估，将考核结果作为政策支持、绩效考核、表彰奖励的重要依据。完善职业教育督导评估办法，建立职业教育定期督导评估和专项督导评估制度，落实督导报告、公报、约谈、限期整改、奖惩等制度。国务院教育督导委员会定期听取职业教育督导评估情况汇报。</w:t>
      </w:r>
    </w:p>
    <w:p w14:paraId="5EE01AC4">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（十八）支持组建国家职业教育指导咨询委员会。</w:t>
      </w:r>
    </w:p>
    <w:p w14:paraId="68DD042C">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为把握正确的国家职业教育改革发展方向，创新我国职业教育改革发展模式，提出重大政策研究建议，参与起草、制订国家职业教育法律法规，开展重大改革调研，提供各种咨询意见，进一步提高政府决策科学化水平，规划并审议职业教育标准等，在政府指导下组建国家职业教育指导咨询委员会。成员包括政府人员、职业教育专家、行业企业专家、管理专家、职业教育研究人员、中华职业教育社等团体和社会各方面热心职业教育的人士。通过政府购买服务等方式，听取咨询机构提出的意见建议并鼓励社会和民间智库参与。政府可以委托国家职业教育指导咨询委员会作为第三方，对全国职业院校、普通高校、校企合作企业、培训评价组织的教育管理、教学质量、办学方式模式、师资培养、学生职业技能提升等情况，进行指导、考核、评估等。</w:t>
      </w:r>
    </w:p>
    <w:p w14:paraId="5F1F615F">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黑体" w:hAnsi="黑体" w:eastAsia="黑体" w:cs="黑体"/>
          <w:sz w:val="30"/>
          <w:szCs w:val="30"/>
        </w:rPr>
      </w:pPr>
      <w:r>
        <w:rPr>
          <w:rFonts w:hint="eastAsia" w:ascii="黑体" w:hAnsi="黑体" w:eastAsia="黑体" w:cs="黑体"/>
          <w:sz w:val="30"/>
          <w:szCs w:val="30"/>
        </w:rPr>
        <w:t>七、做好改革组织实施工作</w:t>
      </w:r>
    </w:p>
    <w:p w14:paraId="4FEDEFC2">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（十九）加强党对职业教育工作的全面领导。</w:t>
      </w:r>
    </w:p>
    <w:p w14:paraId="7D37E8B1">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以习近平新时代中国特色社会主义思想特别是习近平总书记关于职业教育的重要论述武装头脑、指导实践、推动工作。加强党对教育事业的全面领导，全面贯彻党的教育方针，落实中央教育工作领导小组各项要求，保证职业教育改革发展正确方向。要充分发挥党组织在职业院校的领导核心和政治核心作用，牢牢把握学校意识形态工作领导权，将党建工作与学校事业发展同部署、同落实、同考评。指导职业院校上好思想政治理论课，实施好中等职业学校“文明风采”活动，推进职业教育领域“三全育人”综合改革试点工作，使各类课程与思想政治理论课同向同行，努力实现职业技能和职业精神培养高度融合。加强基层党组织建设，有效发挥基层党组织的战斗堡垒作用和共产党员的先锋模范作用，带动学校工会、共青团等群团组织和学生会组织建设，汇聚每一位师生员工的积极性和主动性。</w:t>
      </w:r>
    </w:p>
    <w:p w14:paraId="38A2724D">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（二十）完善国务院职业教育工作部际联席会议制度。</w:t>
      </w:r>
    </w:p>
    <w:p w14:paraId="14332163">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国务院职业教育工作部际联席会议由教育、人力资源社会保障、发展改革、工业和信息化、财政、农业农村、国资、税务、扶贫等单位组成，国务院分管教育工作的副总理担任召集人。联席会议统筹协调全国职业教育工作，研究协调解决工作中重大问题，听取国家职业教育指导咨询委员会等方面的意见建议，部署实施职业教育改革创新重大事项，每年召开两次会议，各成员单位就有关工作情况向联席会议报告。国务院教育行政部门负责职业教育工作的统筹规划、综合协调、宏观管理，国务院教育行政部门、人力资源社会保障行政部门和其他有关部门在职责范围内，分别负责有关的职业教育工作。各成员单位要加强沟通协调，做好相关政策配套衔接，在国家和区域战略规划、重大项目安排、经费投入、企业办学、人力资源开发等方面形成政策合力。推动落实《中华人民共和国职业教育法》，为职业教育改革创新提供重要的制度保障。</w:t>
      </w:r>
    </w:p>
    <w:p w14:paraId="7F826DCA">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br w:type="page"/>
      </w:r>
    </w:p>
    <w:p w14:paraId="672E5CE2">
      <w:pPr>
        <w:pStyle w:val="2"/>
        <w:numPr>
          <w:ilvl w:val="0"/>
          <w:numId w:val="1"/>
        </w:numPr>
        <w:bidi w:val="0"/>
        <w:ind w:left="0" w:leftChars="0" w:firstLine="640" w:firstLineChars="200"/>
        <w:rPr>
          <w:rFonts w:hint="eastAsia"/>
        </w:rPr>
      </w:pPr>
      <w:bookmarkStart w:id="163" w:name="_Toc18154"/>
      <w:bookmarkStart w:id="164" w:name="_Toc7763"/>
      <w:bookmarkStart w:id="165" w:name="_Toc1081"/>
      <w:bookmarkStart w:id="166" w:name="_Toc17380"/>
      <w:r>
        <w:rPr>
          <w:rFonts w:hint="eastAsia"/>
        </w:rPr>
        <w:t>教育部等九部门关于印发《职业教育提质培优行动计划（2020—2023年）》的通知</w:t>
      </w:r>
      <w:bookmarkEnd w:id="163"/>
      <w:bookmarkEnd w:id="164"/>
      <w:bookmarkEnd w:id="165"/>
      <w:bookmarkEnd w:id="166"/>
    </w:p>
    <w:p w14:paraId="3717707E">
      <w:pPr>
        <w:numPr>
          <w:numId w:val="0"/>
        </w:numPr>
        <w:ind w:leftChars="200"/>
        <w:rPr>
          <w:rFonts w:hint="eastAsia"/>
        </w:rPr>
      </w:pPr>
    </w:p>
    <w:p w14:paraId="66B53631">
      <w:pPr>
        <w:numPr>
          <w:numId w:val="0"/>
        </w:numPr>
        <w:jc w:val="center"/>
        <w:rPr>
          <w:rFonts w:hint="eastAsia" w:asciiTheme="minorEastAsia" w:hAnsiTheme="minorEastAsia" w:eastAsiaTheme="minorEastAsia" w:cstheme="minorEastAsia"/>
          <w:b/>
          <w:bCs/>
          <w:sz w:val="36"/>
          <w:szCs w:val="36"/>
        </w:rPr>
      </w:pPr>
      <w:r>
        <w:rPr>
          <w:rFonts w:hint="eastAsia" w:asciiTheme="minorEastAsia" w:hAnsiTheme="minorEastAsia" w:eastAsiaTheme="minorEastAsia" w:cstheme="minorEastAsia"/>
          <w:b/>
          <w:bCs/>
          <w:sz w:val="36"/>
          <w:szCs w:val="36"/>
        </w:rPr>
        <w:t>教育部等九部门关于印发</w:t>
      </w:r>
    </w:p>
    <w:p w14:paraId="39278553">
      <w:pPr>
        <w:numPr>
          <w:numId w:val="0"/>
        </w:numPr>
        <w:jc w:val="center"/>
        <w:rPr>
          <w:rFonts w:hint="eastAsia" w:asciiTheme="minorEastAsia" w:hAnsiTheme="minorEastAsia" w:eastAsiaTheme="minorEastAsia" w:cstheme="minorEastAsia"/>
          <w:b/>
          <w:bCs/>
          <w:w w:val="90"/>
          <w:sz w:val="36"/>
          <w:szCs w:val="36"/>
        </w:rPr>
      </w:pPr>
      <w:r>
        <w:rPr>
          <w:rFonts w:hint="eastAsia" w:asciiTheme="minorEastAsia" w:hAnsiTheme="minorEastAsia" w:eastAsiaTheme="minorEastAsia" w:cstheme="minorEastAsia"/>
          <w:b/>
          <w:bCs/>
          <w:w w:val="90"/>
          <w:sz w:val="36"/>
          <w:szCs w:val="36"/>
        </w:rPr>
        <w:t>《职业教育提质培优行动计划（2020—2023年）》的通知</w:t>
      </w:r>
    </w:p>
    <w:p w14:paraId="3B9DA1AA">
      <w:pPr>
        <w:numPr>
          <w:numId w:val="0"/>
        </w:numPr>
        <w:ind w:leftChars="200"/>
        <w:rPr>
          <w:rFonts w:hint="eastAsia"/>
        </w:rPr>
      </w:pPr>
    </w:p>
    <w:p w14:paraId="62D15A37">
      <w:pPr>
        <w:keepNext w:val="0"/>
        <w:keepLines w:val="0"/>
        <w:pageBreakBefore w:val="0"/>
        <w:widowControl w:val="0"/>
        <w:kinsoku/>
        <w:wordWrap/>
        <w:overflowPunct/>
        <w:topLinePunct w:val="0"/>
        <w:autoSpaceDE/>
        <w:autoSpaceDN/>
        <w:bidi w:val="0"/>
        <w:adjustRightInd w:val="0"/>
        <w:snapToGrid w:val="0"/>
        <w:spacing w:line="540" w:lineRule="exact"/>
        <w:jc w:val="right"/>
        <w:textAlignment w:val="auto"/>
        <w:rPr>
          <w:rFonts w:hint="eastAsia" w:ascii="楷体" w:hAnsi="楷体" w:eastAsia="楷体" w:cs="楷体"/>
          <w:sz w:val="30"/>
          <w:szCs w:val="30"/>
          <w:highlight w:val="none"/>
        </w:rPr>
      </w:pPr>
      <w:r>
        <w:rPr>
          <w:rFonts w:hint="eastAsia" w:ascii="楷体" w:hAnsi="楷体" w:eastAsia="楷体" w:cs="楷体"/>
          <w:sz w:val="30"/>
          <w:szCs w:val="30"/>
          <w:highlight w:val="none"/>
        </w:rPr>
        <w:t>教职成〔2020〕7号</w:t>
      </w:r>
    </w:p>
    <w:p w14:paraId="42B690AE">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0" w:firstLineChars="0"/>
        <w:textAlignment w:val="auto"/>
        <w:rPr>
          <w:rFonts w:hint="eastAsia" w:ascii="楷体" w:hAnsi="楷体" w:eastAsia="楷体" w:cs="楷体"/>
          <w:sz w:val="30"/>
          <w:szCs w:val="30"/>
        </w:rPr>
      </w:pPr>
    </w:p>
    <w:p w14:paraId="61AFB2B5">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0" w:firstLineChars="0"/>
        <w:textAlignment w:val="auto"/>
        <w:rPr>
          <w:rFonts w:hint="eastAsia" w:ascii="楷体" w:hAnsi="楷体" w:eastAsia="楷体" w:cs="楷体"/>
          <w:sz w:val="30"/>
          <w:szCs w:val="30"/>
        </w:rPr>
      </w:pPr>
      <w:r>
        <w:rPr>
          <w:rFonts w:hint="eastAsia" w:ascii="楷体" w:hAnsi="楷体" w:eastAsia="楷体" w:cs="楷体"/>
          <w:sz w:val="30"/>
          <w:szCs w:val="30"/>
        </w:rPr>
        <w:t>各省、自治区、直辖市教育厅（教委）、发展改革委、工业和信息化主管部门、财政厅（局）、人力资源社会保障厅（局）、农业农村（农牧）厅（局、委）、国资委、扶贫办，新疆生产建设兵团教育局、发展改革委、工业和信息化局、财政局、人力资源社会保障局、农业农村局、国资委、扶贫办，国家税务总局各省、自治区、直辖市、计划单列市税务局，有关单位：</w:t>
      </w:r>
    </w:p>
    <w:p w14:paraId="703A0C40">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现将《职业教育提质培优行动计划（2020—2023年）》印发给你们，请结合实际，加强协同配合，认真贯彻执行。</w:t>
      </w:r>
    </w:p>
    <w:p w14:paraId="5A862B5A">
      <w:pPr>
        <w:keepNext w:val="0"/>
        <w:keepLines w:val="0"/>
        <w:pageBreakBefore w:val="0"/>
        <w:widowControl w:val="0"/>
        <w:kinsoku/>
        <w:wordWrap/>
        <w:overflowPunct/>
        <w:topLinePunct w:val="0"/>
        <w:autoSpaceDE/>
        <w:autoSpaceDN/>
        <w:bidi w:val="0"/>
        <w:adjustRightInd w:val="0"/>
        <w:snapToGrid w:val="0"/>
        <w:spacing w:line="540" w:lineRule="exact"/>
        <w:jc w:val="right"/>
        <w:textAlignment w:val="auto"/>
        <w:rPr>
          <w:rFonts w:hint="eastAsia" w:ascii="仿宋_GB2312" w:hAnsi="仿宋_GB2312" w:eastAsia="仿宋_GB2312" w:cs="仿宋_GB2312"/>
          <w:sz w:val="30"/>
          <w:szCs w:val="30"/>
        </w:rPr>
      </w:pPr>
    </w:p>
    <w:p w14:paraId="48D1C2F7">
      <w:pPr>
        <w:keepNext w:val="0"/>
        <w:keepLines w:val="0"/>
        <w:pageBreakBefore w:val="0"/>
        <w:widowControl w:val="0"/>
        <w:kinsoku/>
        <w:wordWrap/>
        <w:overflowPunct/>
        <w:topLinePunct w:val="0"/>
        <w:autoSpaceDE/>
        <w:autoSpaceDN/>
        <w:bidi w:val="0"/>
        <w:adjustRightInd w:val="0"/>
        <w:snapToGrid w:val="0"/>
        <w:spacing w:line="540" w:lineRule="exact"/>
        <w:jc w:val="right"/>
        <w:textAlignment w:val="auto"/>
        <w:rPr>
          <w:rFonts w:hint="eastAsia" w:ascii="仿宋_GB2312" w:hAnsi="仿宋_GB2312" w:eastAsia="仿宋_GB2312" w:cs="仿宋_GB2312"/>
          <w:sz w:val="30"/>
          <w:szCs w:val="30"/>
        </w:rPr>
      </w:pPr>
    </w:p>
    <w:p w14:paraId="5D381B60">
      <w:pPr>
        <w:keepNext w:val="0"/>
        <w:keepLines w:val="0"/>
        <w:pageBreakBefore w:val="0"/>
        <w:widowControl w:val="0"/>
        <w:kinsoku/>
        <w:wordWrap/>
        <w:overflowPunct/>
        <w:topLinePunct w:val="0"/>
        <w:autoSpaceDE/>
        <w:autoSpaceDN/>
        <w:bidi w:val="0"/>
        <w:adjustRightInd w:val="0"/>
        <w:snapToGrid w:val="0"/>
        <w:spacing w:line="540" w:lineRule="exact"/>
        <w:jc w:val="righ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教育部 国家发展改革委 工业和信息化部</w:t>
      </w:r>
    </w:p>
    <w:p w14:paraId="5FC571CF">
      <w:pPr>
        <w:keepNext w:val="0"/>
        <w:keepLines w:val="0"/>
        <w:pageBreakBefore w:val="0"/>
        <w:widowControl w:val="0"/>
        <w:kinsoku/>
        <w:wordWrap/>
        <w:overflowPunct/>
        <w:topLinePunct w:val="0"/>
        <w:autoSpaceDE/>
        <w:autoSpaceDN/>
        <w:bidi w:val="0"/>
        <w:adjustRightInd w:val="0"/>
        <w:snapToGrid w:val="0"/>
        <w:spacing w:line="540" w:lineRule="exact"/>
        <w:jc w:val="righ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财政部 人力资源社会保障部 农业农村部</w:t>
      </w:r>
    </w:p>
    <w:p w14:paraId="510C7C44">
      <w:pPr>
        <w:keepNext w:val="0"/>
        <w:keepLines w:val="0"/>
        <w:pageBreakBefore w:val="0"/>
        <w:widowControl w:val="0"/>
        <w:kinsoku/>
        <w:wordWrap/>
        <w:overflowPunct/>
        <w:topLinePunct w:val="0"/>
        <w:autoSpaceDE/>
        <w:autoSpaceDN/>
        <w:bidi w:val="0"/>
        <w:adjustRightInd w:val="0"/>
        <w:snapToGrid w:val="0"/>
        <w:spacing w:line="540" w:lineRule="exact"/>
        <w:jc w:val="righ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国务院国资委 国家税务总局 国务院扶贫办</w:t>
      </w:r>
    </w:p>
    <w:p w14:paraId="4A777CEC">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rPr>
      </w:pP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2020年9月16日</w:t>
      </w:r>
    </w:p>
    <w:p w14:paraId="6356D778">
      <w:pPr>
        <w:bidi w:val="0"/>
        <w:ind w:left="0" w:leftChars="0" w:firstLine="0" w:firstLineChars="0"/>
        <w:jc w:val="center"/>
        <w:rPr>
          <w:rFonts w:hint="eastAsia"/>
          <w:b/>
          <w:bCs/>
          <w:lang w:eastAsia="zh-CN"/>
        </w:rPr>
      </w:pPr>
    </w:p>
    <w:p w14:paraId="18A10177">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0" w:firstLineChars="0"/>
        <w:jc w:val="center"/>
        <w:textAlignment w:val="auto"/>
        <w:rPr>
          <w:rFonts w:hint="eastAsia" w:asciiTheme="majorEastAsia" w:hAnsiTheme="majorEastAsia" w:eastAsiaTheme="majorEastAsia" w:cstheme="majorEastAsia"/>
          <w:b w:val="0"/>
          <w:bCs w:val="0"/>
          <w:sz w:val="30"/>
          <w:szCs w:val="30"/>
          <w:lang w:eastAsia="zh-CN"/>
        </w:rPr>
      </w:pPr>
      <w:r>
        <w:rPr>
          <w:rFonts w:hint="eastAsia" w:asciiTheme="majorEastAsia" w:hAnsiTheme="majorEastAsia" w:eastAsiaTheme="majorEastAsia" w:cstheme="majorEastAsia"/>
          <w:b w:val="0"/>
          <w:bCs w:val="0"/>
          <w:sz w:val="30"/>
          <w:szCs w:val="30"/>
          <w:lang w:eastAsia="zh-CN"/>
        </w:rPr>
        <w:t>职业教育提质培优行动计划（2020—2023年）</w:t>
      </w:r>
    </w:p>
    <w:p w14:paraId="7E054429">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rPr>
      </w:pPr>
    </w:p>
    <w:p w14:paraId="4C0C4A88">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为贯彻落实《国家职业教育改革实施方案》，办好公平有质量、类型特色突出的职业教育，提质培优、增值赋能、以质图强，加快推进职业教育现代化，更好地支撑我国经济社会持续健康发展，特制定职业教育提质培优行动计划（2020—2023年）（以下简称“行动计划”）。</w:t>
      </w:r>
    </w:p>
    <w:p w14:paraId="0E9BFDE5">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黑体" w:hAnsi="黑体" w:eastAsia="黑体" w:cs="黑体"/>
          <w:sz w:val="30"/>
          <w:szCs w:val="30"/>
        </w:rPr>
      </w:pPr>
      <w:r>
        <w:rPr>
          <w:rFonts w:hint="eastAsia" w:ascii="黑体" w:hAnsi="黑体" w:eastAsia="黑体" w:cs="黑体"/>
          <w:sz w:val="30"/>
          <w:szCs w:val="30"/>
        </w:rPr>
        <w:t>一、总体要求</w:t>
      </w:r>
    </w:p>
    <w:p w14:paraId="35ABB8D3">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（一）指导思想</w:t>
      </w:r>
    </w:p>
    <w:p w14:paraId="5B3B42AC">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以习近平新时代中国特色社会主义思想为指导，贯彻党的十九大和十九届二中、三中、四中全会精神，牢固树立新发展理念，落实高度重视、加快发展的工作方针，坚持服务高质量发展、促进高水平就业的办学方向，坚持职业教育与普通教育不同类型、同等重要的战略定位，着力夯实基础、补齐短板，着力深化改革、激发活力，加快构建纵向贯通、横向融通的中国特色现代职业教育体系，大幅提升新时代职业教育现代化水平和服务能力，为促进经济社会持续发展和提高国家竞争力提供多层次高质量的技术技能人才支撑。</w:t>
      </w:r>
    </w:p>
    <w:p w14:paraId="493C29FB">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（二）主要目标</w:t>
      </w:r>
    </w:p>
    <w:p w14:paraId="03681713">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通过建设，职业教育与经济社会发展需求对接更加紧密、同人民群众期待更加契合、同我国综合国力和国际地位更加匹配，中国特色现代职业教育体系更加完备、制度更加健全、标准更加完善、条件更加充足、评价更加科学。</w:t>
      </w:r>
    </w:p>
    <w:p w14:paraId="75C329D8">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——职业教育发展制度基本健全，职业学校层次结构合理，分类考试招生成为高职学校招生的主渠道，职业教育国家“学分银行”投入运行。</w:t>
      </w:r>
    </w:p>
    <w:p w14:paraId="4246DFA2">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——国务院有关部门协同配合、地方落实主责的职业教育工作机制更加顺畅，政府行业企业学校职责清晰、同向发力，政府统筹管理、社会多元办学格局更加稳固。</w:t>
      </w:r>
    </w:p>
    <w:p w14:paraId="6BD47F14">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——职业教育与普通教育规模大体相当、相互融通，职业学校办学定位清晰，专业设置和人才供给结构不断优化，每年向社会输送数以千万计的高质量技术技能人才。</w:t>
      </w:r>
    </w:p>
    <w:p w14:paraId="1591FA6A">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——国家、省、校三级职业教育标准体系逐步完善，职业学校教学条件基本达标，评价体系更具职教特色，教师、教材、教法改革全面深化。</w:t>
      </w:r>
    </w:p>
    <w:p w14:paraId="21AC0362">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——职业学校办学水平、人才培养质量和就业质量整体提升，职业教育的吸引力和社会认可度大幅提高，有效支撑地方经济社会发展和国家重大战略。</w:t>
      </w:r>
    </w:p>
    <w:p w14:paraId="0C555C4F">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（三）基本原则</w:t>
      </w:r>
    </w:p>
    <w:p w14:paraId="6C7E1657">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育人为本，质量为先。加强党对职业教育工作的全面领导，推进新时代职业学校思想政治工作改革创新。深化产教融合、校企合作，强化工学结合、知行合一，健全德技并修育人机制，完善多元共治的质量保证机制，推进职业教育高质量发展。</w:t>
      </w:r>
    </w:p>
    <w:p w14:paraId="1CED009C">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——固本强基，综合改革。聚焦薄弱环节，着力补短板、强弱项，夯实职业教育发展基础。系统推进体制机制、教育教学、评价体系改革，为职业教育发展注入新动力，激发职业学校办学活力。</w:t>
      </w:r>
    </w:p>
    <w:p w14:paraId="12EBEF0B">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标准先行，试点突破。健全国家、省、校三级标准体系，完善标准落地的工作机制。以打造创新发展高地为抓手，推进关键改革，突破瓶颈制约，打造一批职业教育优质资源和品牌，带动职业教育大改革大发展。</w:t>
      </w:r>
    </w:p>
    <w:p w14:paraId="7D2122BA">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——地方主责，协同推进。构建政府行业企业学校协同推进职业教育高质量发展的新机制，强化省级政府统筹，加强计划执行的过程管理、检查验收和结果应用，确保各项改革措施取得实效。</w:t>
      </w:r>
    </w:p>
    <w:p w14:paraId="266444C5">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黑体" w:hAnsi="黑体" w:eastAsia="黑体" w:cs="黑体"/>
          <w:sz w:val="30"/>
          <w:szCs w:val="30"/>
        </w:rPr>
      </w:pPr>
      <w:r>
        <w:rPr>
          <w:rFonts w:hint="eastAsia" w:ascii="黑体" w:hAnsi="黑体" w:eastAsia="黑体" w:cs="黑体"/>
          <w:sz w:val="30"/>
          <w:szCs w:val="30"/>
        </w:rPr>
        <w:t>二、重点任务</w:t>
      </w:r>
    </w:p>
    <w:p w14:paraId="01E1EAE1">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（一）落实立德树人根本任务</w:t>
      </w:r>
    </w:p>
    <w:p w14:paraId="0F5A94E8">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1.推动习近平新时代中国特色社会主义思想进教材进课堂进头脑</w:t>
      </w:r>
    </w:p>
    <w:p w14:paraId="36D3B124">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以习近平新时代中国特色社会主义思想特别是习近平总书记关于职业教育的重要论述武装头脑、指导实践、推动工作。推进理想信念教育常态化、制度化，落实《新时代爱国主义教育实施纲要》和《新时代公民道德建设纲要》，加强党史、新中国史、改革开放史、社会主义发展史教育和爱国主义、集体主义、社会主义教育。将劳动教育纳入职业学校人才培养方案，设立劳动教育必修课程，统筹勤工俭学、实习实训、社会实践、志愿服务等环节系统开展劳动教育。加强职业道德、职业素养、职业行为习惯培养，职业精神、工匠精神、劳模精神等专题教育不少于16学时。加强艺术类公共基础必修课程建设，强化实践体验，促进学生全面发展。加强职业教育研究，加快构建中国特色职业教育的思想体系、话语体系、政策体系和实践体系。</w:t>
      </w:r>
    </w:p>
    <w:p w14:paraId="6B449787">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2.构建职业教育“三全育人”新格局</w:t>
      </w:r>
    </w:p>
    <w:p w14:paraId="09E3B792">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加强党委对学校思想政治工作的全面领导，落实全员全过程全方位育人，引导职业学校全面统筹各领域、各环节、各方面的育人资源和育人力量，教育引导青年学生增强爱党爱国意识，听党话、跟党走。引导专业课教师加强课程思政建设，将思政教育全面融入人才培养方案和专业课程。构建省校两级培训体系，建立辅导员职务职级“双线”晋升通道，推动辅导员专业化、职业化发展。加强中职德育工作队伍建设，办好中职学校班主任业务能力比赛。鼓励从企业中聘请劳动模范、技术能手、大国工匠、道德楷模担任兼职德育导师，建设一支阅历丰富、有亲和力、身正为范的兼职德育工作队伍。将党建和思想政治工作评价指标全面纳入学校事业发展规划、专业质量评价、人才项目评审、教学科研成果评估等。到2023年，培育200所左右“三全育人”典型学校，培育遴选100个左右名班主任工作室，遴选100个左右德育特色案例。</w:t>
      </w:r>
    </w:p>
    <w:p w14:paraId="226FD615">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3.创新职业学校思想政治教育模式</w:t>
      </w:r>
    </w:p>
    <w:p w14:paraId="73DA6D87">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加强中职学校思想政治、语文、历史和高职学校思想政治理论课课程建设，开足开齐开好必修课程，按照规定选用国家统编教材。高职学校应当根据全日制在校生总数，严格按照师生比不低于1:350的比例核定专职思政课教师岗位，中职学校要加大专职思政课教师配备力度。实施职业学校党建和思政工作能力提升计划，开展德育管理人员、专职思政课教师培训。改革思政课教师考核办法，将政治素质作为教师考核第一标准。遵循职业学校学生认知规律，开发遴选学生喜闻乐见的课程资源，因地制宜实施情景式、案例式、活动式等教法，建设学生真心喜爱、终生受益、体现职业教育特点的思政课程。持续开展职业学校“文明风采”系列活动。充分挖掘和利用地方、企业德育教育资源，鼓励引导校企共建德育实践基地。到2023年，培训10000名左右德育骨干管理人员、思政课专任教师，遴选100个左右思政课教师研修基地，分级培育遴选1000个左右思想政治课教学创新团队、10000个左右思想政治课示范课堂、10000个左右具有职业教育特点的课程思政教育案例。</w:t>
      </w:r>
    </w:p>
    <w:p w14:paraId="0D64A23A">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（二）推进职业教育协调发展</w:t>
      </w:r>
    </w:p>
    <w:p w14:paraId="4B68873D">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4.强化中职教育的基础性作用</w:t>
      </w:r>
    </w:p>
    <w:p w14:paraId="75179944">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把发展中职教育作为普及高中阶段教育和建设中国特色现代职业教育体系的重要基础，保持高中阶段教育职普比大体相当。系统设计中职考试招生办法，使绝大多数城乡新增劳动力接受高中阶段教育。全面核查中职学校基本办学条件，整合“空、小、散、弱”学校，优化中职学校布局。结合实际，鼓励各地将政府投入的职业教育资源统一纳入中职学校（含技工学校、县级职业教育中心等）调配使用，提高中职学校办学效益。支持集中连片特困地区每个地市原则上至少建好办好1所符合当地经济社会发展需要的中职学校。建立普通高中和中职学校合作机制，探索课程互选、学分互认、资源互通，支持有条件的普通高中举办综合高中。加大“三区三州”等深度贫困地区的普职融通力度，发挥职业教育促进义务教育“控辍保学”作用。到2023年，中职学校教学条件基本达标，遴选1000所左右优质中职学校和3000个左右优质专业、300所左右优质技工学校和300个左右优质专业。</w:t>
      </w:r>
    </w:p>
    <w:p w14:paraId="06654A3F">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5.巩固专科高职教育的主体地位</w:t>
      </w:r>
    </w:p>
    <w:p w14:paraId="417B5F79">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把发展专科高职教育作为优化高等教育结构和培养大国工匠、能工巧匠的重要方式，输送区域发展急需的高素质技术技能人才。不限制专科高职学校招收中职毕业生的比例，适度扩大专升本招生计划，为部分有意愿的高职（专科）毕业生提供继续深造的机会。推动各地落实职业学校毕业生在落户、就业、参加机关事业单位招聘、职称评审、职级晋升等方面与普通高校毕业生享受同等待遇。扎实推进中国特色高水平高职学校和专业建设计划，加强绩效考核与评价，建成一批高技能人才培养培训基地和技术技能创新平台。探索高职专业认证。推进专科高职学校高质量发展，遴选300所左右省域高水平高职学校和600个左右高水平专业群。</w:t>
      </w:r>
    </w:p>
    <w:p w14:paraId="49AF3D1D">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6.稳步发展高层次职业教育</w:t>
      </w:r>
    </w:p>
    <w:p w14:paraId="5CE9813E">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把发展本科职业教育作为完善现代职业教育体系的关键一环，培养高素质创新型技术技能人才，畅通技术技能人才成长通道。稳步推进本科层次职业教育试点，支持符合条件的中国特色高水平高职学校建设单位试办职业教育本科专业。推动具备条件的普通本科高校向应用型转变。根据产业需要和行业特点，适度扩大专业学位硕士、博士培养规模，推动各地发展以职业需求为导向、以实践能力培养为重点、以产学研用结合为途径的专业学位研究生培养模式。</w:t>
      </w:r>
    </w:p>
    <w:p w14:paraId="5645FAA1">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（三）完善服务全民终身学习的制度体系</w:t>
      </w:r>
    </w:p>
    <w:p w14:paraId="0C09FDC0">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7.健全服务全民终身学习的职业教育制度</w:t>
      </w:r>
    </w:p>
    <w:p w14:paraId="650E7775">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推进国家资历框架建设，建立各级各类教育培训学习成果认定、积累和转换机制。加快建设职业教育国家“学分银行”，制定学时学分记录规则，引导在校学生和社会学习者建立职业教育个人学习账号，存储、积累学习成果和技能财富。支持学校按照相关规则研制具体的学习成果转换办法，按程序受理学分兑换申请，符合条件的学生可免修部分课程或模块。支持国家开放大学体系创新发展，着力提高办学质量和水平，服务全民终身学习体系建设。</w:t>
      </w:r>
    </w:p>
    <w:p w14:paraId="013C4532">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8.推动学历教育与职业培训并举并重</w:t>
      </w:r>
    </w:p>
    <w:p w14:paraId="7FDE2E70">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落实职业学校并举实施学历教育与培训的法定职责，按照育训结合、长短结合、内外结合的要求，面向在校学生和全体社会成员开展职业培训。支持职业学校承担更多培训任务，成为落实《职业技能提升行动方案（2019—2021年）》的主力军，实现优质职业学校年培训人次达到在校生规模的2倍以上。深入推进1+X证书制度试点，及时总结试点工作经验做法，提高职业技能等级证书的行业企业认可度。发挥职业教育培训评价组织在实施职业技能培训中的重要主体作用。推动更多职业学校参与1+X证书制度实施，服务学生成长和高质量就业。引导有条件的普通高校和职业学校参与企业大学建设。根据军队需要保证职业学校定向培养士官质量。支持国家开放大学办好面向军队军士的学历继续教育。依托职业院校、培训机构、农业技术推广站等机构，面向“三农”提供全产业链技术培训服务及技术支持，为脱贫致富提供持续动力。引导职业学校和龙头企业联合建设500个左右示范性职工培训基地。</w:t>
      </w:r>
    </w:p>
    <w:p w14:paraId="70491629">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9.强化职业学校的继续教育功能</w:t>
      </w:r>
    </w:p>
    <w:p w14:paraId="64917620">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面向在职员工、现役军人、退役军人、进城务工人员、转岗人员、城镇化进程中的新市民、城乡待业人员、残疾人、农村实用人才等社会群体开展多种形式的继续教育。鼓励职业学校积极参与社区教育和老年教育，与普通高校、开放大学（广播电视大学）、独立设置成人高校、各类继续教育机构互联互通、共建共享，形成服务全民终身学习的发展合力。实施“职业教育服务终身学习质量提升行动”，遴选200个左右示范性继续教育基地、2000门左右优质继续教育网络课程，在老年教育、特殊教育、学前教育、卫生护理、文化艺术等领域，遴选500个左右社区教育示范基地和老年大学示范校。</w:t>
      </w:r>
    </w:p>
    <w:p w14:paraId="497EB60E">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（四）深化职业教育产教融合、校企合作</w:t>
      </w:r>
    </w:p>
    <w:p w14:paraId="1B7BF608">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10.深化职业教育供给侧结构性改革</w:t>
      </w:r>
    </w:p>
    <w:p w14:paraId="3E8AA5D5">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建立产业人才数据平台，发布产业人才需求报告，促进职业教育和产业人才需求精准对接。研制职业教育产教对接谱系图，指导优化职业学校和专业布局，重点服务现代制造业、现代服务业和现代农业。遴选建设一批产教融合型城市，推动试点城市建设开放型、共享型、智慧型实训基地。加大对农业农村等人才急需领域的职业教育供给，建设100所乡村振兴人才培养优质校，发挥好“国家级农村职业教育和成人教育示范县”等在服务乡村振兴战略中的重要作用。</w:t>
      </w:r>
    </w:p>
    <w:p w14:paraId="75CDBCC6">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11.深化校企合作协同育人模式改革</w:t>
      </w:r>
    </w:p>
    <w:p w14:paraId="4D5050F9">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建好用好行业职业教育教学指导委员会，提升行业举办和指导职业教育的能力。支持职业学校根据自身特点和人才培养需要，主动与具备条件的企业在人才培养培训、技术创新、就业创业、社会服务、文化传承等方面开展合作。支持国有企业和大型民营企业举办或参与举办职业教育，将企业办学情况纳入企业社会责任报告。支持行业领军企业主导建设全国性职教集团，分领域建设服务产业高端的技术技能人才标准和培养高地。全面推行现代学徒制和企业新型学徒制，鼓励企业利用资本、技术、知识、设施、设备和管理等要素参与校企合作。培育数以万计的产教融合型企业，建立覆盖主要专业领域的教师企业实践流动站，依托国有企业、大型民企建立1000个左右示范性流动站。发挥职教集团推进企业参与职业教育办学的纽带作用，打造500个左右实体化运行的示范性职教集团（联盟）、100个左右技工教育集团（联盟）。推动建设300个左右具有辐射引领作用的高水平专业化产教融合实训基地。</w:t>
      </w:r>
    </w:p>
    <w:p w14:paraId="52C901CB">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12.完善校企合作激励约束机制</w:t>
      </w:r>
    </w:p>
    <w:p w14:paraId="66B281EE">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健全以企业为重要主导、职业学校为重要支撑、产业关键核心技术攻关为中心任务的产教融合创新机制。围绕关键核心技术，推动公共教学资源和实训资源共建共享。支持行业组织积极参与产教融合建设试点项目。对纳入产教融合型企业建设培育范围的试点企业，兴办职业教育的投资符合规定的，可按投资额的30%抵免当年应缴教育费附加和地方教育附加。充分发挥市场配置资源作用，鼓励地方开展混合所有制、股份制办学改革试点，推动各地建立健全省级产教融合型企业认证制度，落实“金融+财政+土地+信用”的组合式激励政策。</w:t>
      </w:r>
    </w:p>
    <w:p w14:paraId="7EB55B4F">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（五）健全职业教育考试招生制度</w:t>
      </w:r>
    </w:p>
    <w:p w14:paraId="5CA77497">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13.健全高职分类考试招生制度</w:t>
      </w:r>
    </w:p>
    <w:p w14:paraId="0C21BAC8">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建立健全省级统筹的高职分类考试招生制度。完善高职教育招生计划分配和考试招生办法，每年春季省级教育行政部门统一组织开展以高职学校招生为主的分类考试。分类考试录取的学生不再参加普通高考。保留高职学校通过普通高考招生的渠道，保持分类考试招生为高职学校招生的主渠道。</w:t>
      </w:r>
    </w:p>
    <w:p w14:paraId="37D70A4D">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14.规范职业教育考试招生形式</w:t>
      </w:r>
    </w:p>
    <w:p w14:paraId="3565888C">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鼓励中职毕业生通过高职分类考试报考高职学校。推动各地将技工学校纳入职业教育统一招生平台。鼓励退役军人、下岗职工、农民工和高素质农民等群体报考高职学校，可免予文化素质考试，只参加学校组织的与报考专业相关的职业适应性测试或职业技能测试。逐步取消现行的注册入学招生。规范长学制技术技能人才贯通培养，逐步取消中职本科贯通，适度扩大中职专科贯通，贯通专业以始读年龄小、培养周期长、技能要求高的专业为主。严格执行技能拔尖人才免试入学条件。</w:t>
      </w:r>
    </w:p>
    <w:p w14:paraId="7340C7DC">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15.完善“文化素质+职业技能”评价方式</w:t>
      </w:r>
    </w:p>
    <w:p w14:paraId="2C473CD1">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完善高职分类考试内容和形式，推进“文化素质+职业技能”评价方式，引导不同阶段教育合理分流、协调发展，为学生接受高职教育提供多种入学方式。文化素质考试由省级教育行政部门根据《中等职业学校公共基础课课程标准》统一组织。职业技能测试分值不低于总分值的50%，考试形式以操作考试为主，须充分体现岗位技能、通用技术等内容。省级教育行政部门按照专业大类统一制定职业适应性测试标准、规定测试方式。支持有条件的省份建立中职学生学业水平测试制度。鼓励高职学校与产教融合型企业联合招生。</w:t>
      </w:r>
    </w:p>
    <w:p w14:paraId="0A8121B9">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（六）实施职业教育治理能力提升行动</w:t>
      </w:r>
    </w:p>
    <w:p w14:paraId="53E3ED05">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16.健全职业教育标准体系</w:t>
      </w:r>
    </w:p>
    <w:p w14:paraId="50E2C5AE">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发挥标准在职业教育质量提升中的基础性作用。适时修订中职学校、专科高职学校设置标准，研制本科职业学校设置标准。结合职业教育特点完善学位制度。实施职业学校教师、校长专业标准，制定“双师型”教师基本要求。统筹修（制）订衔接贯通、全面覆盖的中等、专科、本科职业教育专业目录及专业设置管理办法。构建国家、省、校三级专业教学标准体系，国家面向产业急需领域和量大面广的专业，修（制）订国家标准；各地根据经济社会发展需要和有关技术规范，补充制定区域性标准；职业学校全面落实国标和省标，开发具有校本特色的更高标准。</w:t>
      </w:r>
    </w:p>
    <w:p w14:paraId="79F6BBC4">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17.完善办学质量监管评价机制</w:t>
      </w:r>
    </w:p>
    <w:p w14:paraId="5964F7E2">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完善政府、行业企业、学校、社会等多方参与的质量监管评价机制。完善职业学校评价制度，把职业道德、职业素养、技术技能水平、就业质量和创业能力作为衡量人才培养质量的重要内容。研究制定职业学校办学质量考核办法，省级统筹开展职业学校办学质量考核，建立技能抽查、实习报告、毕业设计抽检等随机性检查制度。完善以章程为核心的校内规则制度体系，健全职业学校内部治理结构，深入推进职业学校教学工作诊断与改进制度建设，切实发挥学校质量保证主体作用。巩固国家、省、校三级质量年报发布制度，进一步提高质量年报编制水平和公开力度。完善职业教育督导评估办法，构建国家、省、校三级职业教育督导体系。</w:t>
      </w:r>
    </w:p>
    <w:p w14:paraId="66C9BF9D">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18.打造高素质专业化管理队伍</w:t>
      </w:r>
    </w:p>
    <w:p w14:paraId="510E9B4B">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强化职业学校校长队伍建设，完善选拔任用机制。落实和扩大职业学校办学自主权，健全完善职称评聘、分配制度等，支持学校在限额内自主设立内设机构，按规定自主设置岗位、自主确定用人计划、按规定自主招聘各类人才。建立国家、省、市（县）分级培训机制，组织开展职业学校校长和管理干部培训，造就一支政治过硬、品德高尚、业务精湛、治校有方的管理队伍。到2023年，集中培训5000名左右中职校长（书记）和1000名左右高职校长（书记），各级各类培训覆盖全部职业学校管理干部。</w:t>
      </w:r>
    </w:p>
    <w:p w14:paraId="1CFA4421">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（七）实施职业教育“三教”改革攻坚行动</w:t>
      </w:r>
    </w:p>
    <w:p w14:paraId="6645AFB1">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19.提升教师“双师”素质</w:t>
      </w:r>
    </w:p>
    <w:p w14:paraId="460D3A68">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根据职业教育特点核定公办职业学校教职工编制。实施新一周期“全国职业院校教师素质提高计划”，校企共建“双师型”教师（含技工院校“一体化”教师，下同）培养培训基地和教师企业实践基地，落实5年一轮的教师全员培训制度。探索有条件的优质高职学校转型为职业技术师范类院校或开办职业技术师范专业，支持高水平工科院校分专业领域培养职业教育师资，构建“双师型”教师培养体系。改革职业学校专业教师晋升和评价机制，破除“五唯”倾向，将企业生产项目实践经历、业绩成果等纳入评价标准。完善职业学校自主聘任兼职教师的办法，实施现代产业导师特聘计划，设置一定比例的特聘岗位，畅通行业企业高层次技术技能人才从教渠道，推动企业工程技术人员、高技能人才与职业学校教师双向流动。改革完善职业学校绩效工资政策。职业学校通过校企合作、技术服务、社会培训取得的收入，可按一定比例作为绩效工资来源。各级人力资源社会保障、财政部门要充分考虑职业学校承担培训任务情况，合理核定绩效工资总量和水平。对承担任务较重的职业学校，在原总量基础上及时核增所需绩效工资总量。专业教师可按国家规定在校企合作企业兼职取酬。到2023年，专业教师中“双师型”教师占比超过50%，遴选一批国家“万人计划”教学名师、360个国家级教师教学创新团队。</w:t>
      </w:r>
    </w:p>
    <w:p w14:paraId="7BA77717">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20.加强职业教育教材建设</w:t>
      </w:r>
    </w:p>
    <w:p w14:paraId="767085C5">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完善职业教育教材规划、编写、审核、选用使用、评价监管机制。加强意识形态属性较强的哲学社会科学教材建设，纳入马克思主义理论研究和建设工程重点建设，做好教材统一使用工作。对接主流生产技术，注重吸收行业发展的新知识、新技术、新工艺、新方法，校企合作开发专业课教材。建立健全三年大修订、每年小修订的教材动态更新调整机制。根据职业学校学生特点创新教材形态，推行科学严谨、深入浅出、图文并茂、形式多样的活页式、工作手册式、融媒体教材。实行教材分层规划制度，引导地方建设国家规划教材领域以外的区域特色教材，在国家和省级规划教材不能满足的情况下，鼓励职业学校编写反映自身特色的校本专业教材。编写并用好中职思想政治、语文和历史统编教材。健全教材的分类审核、抽查和退出制度。到2023年，遴选10000种左右校企双元合作开发的职业教育规划教材，国家、省两级抽查教材的比例合计不低于50%，职业学校专业课程全部使用新近更新的教材。</w:t>
      </w:r>
    </w:p>
    <w:p w14:paraId="61FE6C79">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21.提升职业教育专业和课程教学质量</w:t>
      </w:r>
    </w:p>
    <w:p w14:paraId="18E94942">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推动依据国家战略和区域产业发展需求、专业建设水平、就业质量等合理规划引导专业设置，建立退出机制。规范人才培养方案研制发布程序，建立职业学校人才培养方案公开制度，为行业指导、企业选择、学生学习、同行交流、社会监督提供便利。加强课堂教学日常管理，规范教学秩序。推动职业学校“课堂革命”，适应生源多样化特点，将课程教学改革推向纵深。加强实践性教学，实践性教学学时原则上占总学时数50%以上，积极推行认知实习、跟岗实习、顶岗实习等多种实习方式，可根据专业实际集中或分阶段安排。完善以学习者为中心的专业和课程教学评价体系，强化实习实训考核评价。鼓励教师团队对接职业标准和工作过程，探索分工协作的模块化教学组织方式。建立健全国家、省、校三级教学能力比赛机制。遴选1000个左右职业教育“课堂革命”典型案例，职业教育教学成果奖评选向课堂教学改革倾斜。</w:t>
      </w:r>
    </w:p>
    <w:p w14:paraId="35DFB99C">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（八）实施职业教育信息化2.0建设行动</w:t>
      </w:r>
    </w:p>
    <w:p w14:paraId="5619FE22">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22.提升职业教育信息化建设水平</w:t>
      </w:r>
    </w:p>
    <w:p w14:paraId="17691D2E">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落实《职业院校数字校园规范》，推动各地研制校本数据中心建设指南，指导职业学校系统设计学校信息化整体解决方案。引导职业学校提升信息化基础能力，建设高速稳定的校园网络，联通校内行政教学科研学生后勤等应用系统，统筹建设一体化智能化教学、管理与服务平台。推动信息技术和智能技术深度融入学校管理全过程，大幅提高决策和管理的精准化科学化水平。落实网络安全责任制，增强网络与信息安全管控能力。遴选300所左右职业教育信息化标杆学校。</w:t>
      </w:r>
    </w:p>
    <w:p w14:paraId="6C859443">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23.推动信息技术与教育教学深度融合</w:t>
      </w:r>
    </w:p>
    <w:p w14:paraId="413D572E">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主动适应科技革命和产业革命要求，以“信息技术+”升级传统专业，及时发展数字经济催生的新兴专业。鼓励职业学校利用现代信息技术推动人才培养模式改革，满足学生的多样化学习需求，大力推进“互联网+”“智能+”教育新形态，推动教育教学变革创新。探索建设政府引导、市场参与的职业教育资源共建共享机制，服务课程开发、教学设计、教学实施、教学评价。建立健全共建共享的资源认证标准和交易机制，推进国家、省、校三级专业教学资源库建设应用，进一步扩大优质资源覆盖面。遴选100个左右示范性虚拟仿真实训基地；面向公共基础课和量大面广的专业（技能）课，分级遴选5000门左右职业教育在线精品课程。引导职业学校开展信息化全员培训，提升教师和管理人员的信息化能力，以及学生利用网络信息技术和优质在线资源进行自主学习的能力。</w:t>
      </w:r>
    </w:p>
    <w:p w14:paraId="1284B373">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（九）实施职业教育服务国际产能合作行动</w:t>
      </w:r>
    </w:p>
    <w:p w14:paraId="522544A3">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24.加快培养国际产能合作急需人才</w:t>
      </w:r>
    </w:p>
    <w:p w14:paraId="07079760">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加强职业学校与境外中资企业合作，支持职业学校到国（境）外办学，培育一批“鲁班工坊”，培养熟悉中华传统文化、中资企业急需的本土技术技能人才。鼓励国家开放大学建设海外学习中心，推动中国与产能合作国远程教育培训合作。统筹利用现有资源，实施“职业院校教师教学创新团队境外培训计划”，选派一大批专业带头人和骨干教师出国研修访学。鼓励引进国（境）外优质职业教育机构来华合作办学，促进国际经验的本土化、再创新。</w:t>
      </w:r>
    </w:p>
    <w:p w14:paraId="0C927526">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25.提升职业教育国际影响力</w:t>
      </w:r>
    </w:p>
    <w:p w14:paraId="64698504">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推进“中文+职业技能”项目，助力中国职业教育走出去，提升国际影响力。引导职业学校与国（境）外优秀职业教育机构联合开展学术研究、标准研制、师生交流等合作项目，促进国内职业教育优秀成果海外推介。对接联合国教科文组织，积极承办世界职业教育大会，在“一带一路”沿线国家举办中国职业教育发展成果展，贡献职业教育的中国智慧、中国经验和中国方案，展示当代中国良好形象。</w:t>
      </w:r>
    </w:p>
    <w:p w14:paraId="24A50966">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（十）实施职业教育创新发展高地建设行动</w:t>
      </w:r>
    </w:p>
    <w:p w14:paraId="489BEA68">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26.整省推进职业教育提质培优</w:t>
      </w:r>
    </w:p>
    <w:p w14:paraId="7123B181">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both"/>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主动适应国家区域发展战略，在东中西部布局5个左右国家职业教育改革省域试点。按照“一地一案、分区推进”原则，在学校设置、重点项目建设等方面加大政策供给，支持试点省份探索新时代区域职业教育改革发展新模式。引导地方落实主体责任，完善地方职业教育工作部门联席会议制度，推动各部门形成工作合力，优化职业教育办学体制机制，加强治理体系和治理能力现代化建设，探索职业学校毕业生高质量就业模式等。</w:t>
      </w:r>
    </w:p>
    <w:p w14:paraId="4E9E64AD">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27.合力打造职业教育样板城市</w:t>
      </w:r>
    </w:p>
    <w:p w14:paraId="37F5FDA6">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国家、省、市三级推动，建设10个左右国家职业教育改革市域试点。支持地市政府把握功能区定位，加强市场化资源配置，在职业教育服务城市文明、服务城市创新、服务民生需求、服务绿色发展等领域重点突破、先行示范，率先建成与城市经济和民生相适应的现代职业教育体系，开创职业教育开放办学新格局，形成一批基层首创的改革经验。</w:t>
      </w:r>
    </w:p>
    <w:p w14:paraId="69FD2ADA">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黑体" w:hAnsi="黑体" w:eastAsia="黑体" w:cs="黑体"/>
          <w:sz w:val="30"/>
          <w:szCs w:val="30"/>
        </w:rPr>
      </w:pPr>
      <w:r>
        <w:rPr>
          <w:rFonts w:hint="eastAsia" w:ascii="黑体" w:hAnsi="黑体" w:eastAsia="黑体" w:cs="黑体"/>
          <w:sz w:val="30"/>
          <w:szCs w:val="30"/>
        </w:rPr>
        <w:t>三、组织实施</w:t>
      </w:r>
    </w:p>
    <w:p w14:paraId="45BEFE2F">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（一）加强党的全面领导</w:t>
      </w:r>
    </w:p>
    <w:p w14:paraId="16967690">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把加强党的全面领导落实到职业教育提质培优工作的各方面全过程。全面贯彻党的教育方针，落实中央教育工作领导小组各项要求，完善省（区、市）委教育工作领导小组定期研究职业教育工作制度。按照社会主义政治家、教育家的要求选好配强职业学校领导班子。职业学校要选优配强院（系）领导班子特别是党政正职，全面开展党组织“对标争先”建设计划，促进学校各级党组织组织力全面提升。全面实施教师党支部书记“双带头人”培育工程。强化党组织在职业学校的领导核心和政治核心作用，履行好管党治党主体责任，牢牢把握学校意识形态工作领导权，引导广大师生增强“四个意识”、坚定“四个自信”、做到“两个维护”。</w:t>
      </w:r>
    </w:p>
    <w:p w14:paraId="31173D65">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（二）完善职业教育财政支持机制</w:t>
      </w:r>
    </w:p>
    <w:p w14:paraId="088D5B11">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新增教育经费要向职业教育倾斜，逐步建立与办学规模、培养成本、办学质量相适应的财政投入制度，进一步完善职业学校生均拨款制度，合理确定生均财政拨款水平。支持地方将职业教育纳入地方政府专项债券资金支持范围。鼓励社会力量兴办职业教育，健全成本分担机制，落实举办者的投入责任，拓宽经费来源渠道。各地可通过购买服务、助学贷款、奖助学金等方式对民办职业学校予以扶持。</w:t>
      </w:r>
    </w:p>
    <w:p w14:paraId="4009CF94">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（三）完善协同推进机制</w:t>
      </w:r>
    </w:p>
    <w:p w14:paraId="734E88EA">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国务院职业教育工作部际联席会议加强对“行动计划”实施工作的指导，教育部负责实施工作的统筹协调，国务院相关部门在职责分工范围内落实相应任务。完善国家职业教育指导咨询委员会工作机制，进一步提高政府科学化决策的水平。国务院相关部门建立“行动计划”执行情况检查通报制度。各地有关部门积极承接任务项目、制定工作方案、协调支持经费、加大政策供给，将“行动计划”与“十四五”事业发展同规划、同部署、同考核，确保改革发展任务落地。 “行动计划”执行情况作为省级政府履行教育职责的重要内容。各地实施成效作为国家新一轮重大改革试点项目遴选的重要依据。</w:t>
      </w:r>
    </w:p>
    <w:p w14:paraId="14EF1646">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（四）营造良好发展氛围</w:t>
      </w:r>
    </w:p>
    <w:p w14:paraId="183B5481">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加快推进修订和落实《中华人民共和国职业教育法》，鼓励地方因地制宜制定和颁布促进职业教育发展的地方性法规。办好全国职业院校技能大赛，发挥以赛促教促学的引领作用。办好职业教育活动周和世界青年技能日宣传活动，深入开展“大国工匠进校园”“劳模进校园”“优秀职校生校园分享”等活动。办好全民终身学习活动周，开展“百姓学习之星”和“终身学习品牌项目”等认定、宣传和展示活动。加强中央和地方主流媒体、新兴媒体对职业教育的宣传力度，打造一批形式多样的职业教育宣传品牌。鼓励职业学校建好用好新型宣传平台，讲好身边的职教故事。常态化开展职业学校校园开放、企业开放日、面向中小学生的职业体验、面向社会的便民服务、职教成果展示等宣传展示及服务活动，提升职业教育的影响力和美誉度。</w:t>
      </w:r>
    </w:p>
    <w:p w14:paraId="55F2EE7C">
      <w:pPr>
        <w:rPr>
          <w:rFonts w:hint="eastAsia"/>
        </w:rPr>
      </w:pPr>
      <w:r>
        <w:rPr>
          <w:rFonts w:hint="eastAsia"/>
        </w:rPr>
        <w:br w:type="page"/>
      </w:r>
    </w:p>
    <w:p w14:paraId="4FA54D25">
      <w:pPr>
        <w:bidi w:val="0"/>
        <w:ind w:left="0" w:leftChars="0" w:firstLine="0" w:firstLineChars="0"/>
        <w:rPr>
          <w:b/>
          <w:bCs/>
        </w:rPr>
      </w:pPr>
      <w:r>
        <w:rPr>
          <w:rFonts w:hint="eastAsia"/>
          <w:b/>
          <w:bCs/>
        </w:rPr>
        <w:t>附表</w:t>
      </w:r>
      <w:r>
        <w:rPr>
          <w:rFonts w:hint="eastAsia"/>
          <w:b/>
          <w:bCs/>
          <w:lang w:eastAsia="zh-CN"/>
        </w:rPr>
        <w:t>：</w:t>
      </w:r>
      <w:r>
        <w:rPr>
          <w:rFonts w:hint="eastAsia"/>
          <w:b/>
          <w:bCs/>
        </w:rPr>
        <w:t>重点任务（项目）一览表</w:t>
      </w:r>
    </w:p>
    <w:tbl>
      <w:tblPr>
        <w:tblStyle w:val="12"/>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5954"/>
        <w:gridCol w:w="2551"/>
      </w:tblGrid>
      <w:tr w14:paraId="22DCF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blHeader/>
          <w:jc w:val="center"/>
        </w:trPr>
        <w:tc>
          <w:tcPr>
            <w:tcW w:w="70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35976C2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序号</w:t>
            </w:r>
          </w:p>
        </w:tc>
        <w:tc>
          <w:tcPr>
            <w:tcW w:w="5954"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0A51A1D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工作任务</w:t>
            </w:r>
          </w:p>
        </w:tc>
        <w:tc>
          <w:tcPr>
            <w:tcW w:w="255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14:paraId="472CDA7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责任部门</w:t>
            </w:r>
          </w:p>
        </w:tc>
      </w:tr>
      <w:tr w14:paraId="1BB1A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jc w:val="center"/>
        </w:trPr>
        <w:tc>
          <w:tcPr>
            <w:tcW w:w="9209" w:type="dxa"/>
            <w:gridSpan w:val="3"/>
            <w:noWrap w:val="0"/>
            <w:vAlign w:val="center"/>
          </w:tcPr>
          <w:p w14:paraId="6DD2884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hint="eastAsia" w:ascii="黑体" w:hAnsi="黑体" w:eastAsia="黑体" w:cs="Times New Roman"/>
                <w:kern w:val="0"/>
                <w:sz w:val="24"/>
                <w:szCs w:val="24"/>
              </w:rPr>
              <w:t>落实立德树人根本任务</w:t>
            </w:r>
          </w:p>
        </w:tc>
      </w:tr>
      <w:tr w14:paraId="6F2B0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jc w:val="center"/>
        </w:trPr>
        <w:tc>
          <w:tcPr>
            <w:tcW w:w="704" w:type="dxa"/>
            <w:noWrap w:val="0"/>
            <w:vAlign w:val="center"/>
          </w:tcPr>
          <w:p w14:paraId="61A0D7F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w:t>
            </w:r>
          </w:p>
        </w:tc>
        <w:tc>
          <w:tcPr>
            <w:tcW w:w="5954" w:type="dxa"/>
            <w:noWrap w:val="0"/>
            <w:vAlign w:val="center"/>
          </w:tcPr>
          <w:p w14:paraId="564C0938">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加强职业教育研究，构建中国特色职业教育的思想体系、话语体系、政策体系和实践体系</w:t>
            </w:r>
          </w:p>
        </w:tc>
        <w:tc>
          <w:tcPr>
            <w:tcW w:w="2551" w:type="dxa"/>
            <w:noWrap w:val="0"/>
            <w:vAlign w:val="center"/>
          </w:tcPr>
          <w:p w14:paraId="3B82608A">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教育部，各地有关部门</w:t>
            </w:r>
          </w:p>
        </w:tc>
      </w:tr>
      <w:tr w14:paraId="62DDC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245EB8D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p>
        </w:tc>
        <w:tc>
          <w:tcPr>
            <w:tcW w:w="5954" w:type="dxa"/>
            <w:noWrap w:val="0"/>
            <w:vAlign w:val="center"/>
          </w:tcPr>
          <w:p w14:paraId="00D44BCC">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按照师生比不低于1:350的比例核定专职思政课教师岗位</w:t>
            </w:r>
          </w:p>
        </w:tc>
        <w:tc>
          <w:tcPr>
            <w:tcW w:w="2551" w:type="dxa"/>
            <w:noWrap w:val="0"/>
            <w:vAlign w:val="center"/>
          </w:tcPr>
          <w:p w14:paraId="4E71BB7F">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14:paraId="789D1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1723939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p>
        </w:tc>
        <w:tc>
          <w:tcPr>
            <w:tcW w:w="5954" w:type="dxa"/>
            <w:noWrap w:val="0"/>
            <w:vAlign w:val="center"/>
          </w:tcPr>
          <w:p w14:paraId="05B82224">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培育</w:t>
            </w:r>
            <w:r>
              <w:rPr>
                <w:rFonts w:ascii="Times New Roman" w:hAnsi="Times New Roman" w:eastAsia="仿宋_GB2312" w:cs="Times New Roman"/>
                <w:kern w:val="0"/>
                <w:sz w:val="24"/>
                <w:szCs w:val="24"/>
              </w:rPr>
              <w:t>200所左右</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三全育人</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典型学校，培育遴选100个左右名班主任工作室，遴选100个左右德育特色案例</w:t>
            </w:r>
          </w:p>
        </w:tc>
        <w:tc>
          <w:tcPr>
            <w:tcW w:w="2551" w:type="dxa"/>
            <w:noWrap w:val="0"/>
            <w:vAlign w:val="center"/>
          </w:tcPr>
          <w:p w14:paraId="70C871D1">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教育部、人力资源社会保障部，各地有关部门</w:t>
            </w:r>
          </w:p>
        </w:tc>
      </w:tr>
      <w:tr w14:paraId="63BFE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2C3193D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p>
        </w:tc>
        <w:tc>
          <w:tcPr>
            <w:tcW w:w="5954" w:type="dxa"/>
            <w:noWrap w:val="0"/>
            <w:vAlign w:val="center"/>
          </w:tcPr>
          <w:p w14:paraId="2DEDE620">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培训10000名左右德育骨干管理人员、思政课专任教师，遴选100个左右思政课教师研修基地，分级培育遴选1000个左右思想政治课教学创新团队、10000个左右思想政治课示范课堂、10000个左右具有职业教育特点的课程思政教育案例</w:t>
            </w:r>
          </w:p>
        </w:tc>
        <w:tc>
          <w:tcPr>
            <w:tcW w:w="2551" w:type="dxa"/>
            <w:noWrap w:val="0"/>
            <w:vAlign w:val="center"/>
          </w:tcPr>
          <w:p w14:paraId="54A9244E">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、人力资源社会保障部，各地有关部门</w:t>
            </w:r>
          </w:p>
        </w:tc>
      </w:tr>
      <w:tr w14:paraId="7607D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9209" w:type="dxa"/>
            <w:gridSpan w:val="3"/>
            <w:noWrap w:val="0"/>
            <w:vAlign w:val="center"/>
          </w:tcPr>
          <w:p w14:paraId="7DDFD0F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hint="eastAsia" w:ascii="黑体" w:hAnsi="黑体" w:eastAsia="黑体" w:cs="Times New Roman"/>
                <w:kern w:val="0"/>
                <w:sz w:val="24"/>
                <w:szCs w:val="24"/>
              </w:rPr>
              <w:t>推进职业教育协调发展</w:t>
            </w:r>
          </w:p>
        </w:tc>
      </w:tr>
      <w:tr w14:paraId="28D9E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1D06EE4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5954" w:type="dxa"/>
            <w:noWrap w:val="0"/>
            <w:vAlign w:val="center"/>
          </w:tcPr>
          <w:p w14:paraId="3634A843">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支持集中连片特困地区每个地市原则上至少建好办好</w:t>
            </w:r>
            <w:r>
              <w:rPr>
                <w:rFonts w:ascii="Times New Roman" w:hAnsi="Times New Roman" w:eastAsia="仿宋_GB2312" w:cs="Times New Roman"/>
                <w:sz w:val="24"/>
                <w:szCs w:val="24"/>
              </w:rPr>
              <w:t>1所符合当地经济社会发展需要的中等职业学校</w:t>
            </w:r>
          </w:p>
        </w:tc>
        <w:tc>
          <w:tcPr>
            <w:tcW w:w="2551" w:type="dxa"/>
            <w:noWrap w:val="0"/>
            <w:vAlign w:val="center"/>
          </w:tcPr>
          <w:p w14:paraId="40D49CD5">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sz w:val="24"/>
                <w:szCs w:val="24"/>
              </w:rPr>
            </w:pPr>
            <w:r>
              <w:rPr>
                <w:rFonts w:hint="eastAsia" w:ascii="Times New Roman" w:hAnsi="Times New Roman" w:eastAsia="仿宋_GB2312" w:cs="Times New Roman"/>
                <w:kern w:val="0"/>
                <w:sz w:val="24"/>
                <w:szCs w:val="24"/>
              </w:rPr>
              <w:t>教育部，相关省份有关部门</w:t>
            </w:r>
          </w:p>
        </w:tc>
      </w:tr>
      <w:tr w14:paraId="1E747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55FF4AB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5954" w:type="dxa"/>
            <w:noWrap w:val="0"/>
            <w:vAlign w:val="center"/>
          </w:tcPr>
          <w:p w14:paraId="665418C9">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中职学校教学条件基本达标</w:t>
            </w:r>
          </w:p>
        </w:tc>
        <w:tc>
          <w:tcPr>
            <w:tcW w:w="2551" w:type="dxa"/>
            <w:noWrap w:val="0"/>
            <w:vAlign w:val="center"/>
          </w:tcPr>
          <w:p w14:paraId="5E13F528">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教育部、人力资源社会保障部，各地有关部门</w:t>
            </w:r>
          </w:p>
        </w:tc>
      </w:tr>
      <w:tr w14:paraId="3915A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630AA4B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7</w:t>
            </w:r>
          </w:p>
        </w:tc>
        <w:tc>
          <w:tcPr>
            <w:tcW w:w="5954" w:type="dxa"/>
            <w:noWrap w:val="0"/>
            <w:vAlign w:val="center"/>
          </w:tcPr>
          <w:p w14:paraId="4411E98C">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遴选</w:t>
            </w:r>
            <w:r>
              <w:rPr>
                <w:rFonts w:ascii="Times New Roman" w:hAnsi="Times New Roman" w:eastAsia="仿宋_GB2312" w:cs="Times New Roman"/>
                <w:sz w:val="24"/>
                <w:szCs w:val="24"/>
              </w:rPr>
              <w:t>1000所</w:t>
            </w:r>
            <w:r>
              <w:rPr>
                <w:rFonts w:hint="eastAsia" w:ascii="Times New Roman" w:hAnsi="Times New Roman" w:eastAsia="仿宋_GB2312" w:cs="Times New Roman"/>
                <w:sz w:val="24"/>
                <w:szCs w:val="24"/>
              </w:rPr>
              <w:t>左右</w:t>
            </w:r>
            <w:r>
              <w:rPr>
                <w:rFonts w:ascii="Times New Roman" w:hAnsi="Times New Roman" w:eastAsia="仿宋_GB2312" w:cs="Times New Roman"/>
                <w:sz w:val="24"/>
                <w:szCs w:val="24"/>
              </w:rPr>
              <w:t>优质中职学校和3000个</w:t>
            </w:r>
            <w:r>
              <w:rPr>
                <w:rFonts w:hint="eastAsia" w:ascii="Times New Roman" w:hAnsi="Times New Roman" w:eastAsia="仿宋_GB2312" w:cs="Times New Roman"/>
                <w:sz w:val="24"/>
                <w:szCs w:val="24"/>
              </w:rPr>
              <w:t>左右</w:t>
            </w:r>
            <w:r>
              <w:rPr>
                <w:rFonts w:ascii="Times New Roman" w:hAnsi="Times New Roman" w:eastAsia="仿宋_GB2312" w:cs="Times New Roman"/>
                <w:sz w:val="24"/>
                <w:szCs w:val="24"/>
              </w:rPr>
              <w:t>优质专业</w:t>
            </w:r>
          </w:p>
        </w:tc>
        <w:tc>
          <w:tcPr>
            <w:tcW w:w="2551" w:type="dxa"/>
            <w:noWrap w:val="0"/>
            <w:vAlign w:val="center"/>
          </w:tcPr>
          <w:p w14:paraId="1C97572D">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sz w:val="24"/>
                <w:szCs w:val="24"/>
              </w:rPr>
              <w:t>，</w:t>
            </w:r>
            <w:r>
              <w:rPr>
                <w:rFonts w:hint="eastAsia" w:ascii="Times New Roman" w:hAnsi="Times New Roman" w:eastAsia="仿宋_GB2312" w:cs="Times New Roman"/>
                <w:kern w:val="0"/>
                <w:sz w:val="24"/>
                <w:szCs w:val="24"/>
              </w:rPr>
              <w:t>各地有关部门</w:t>
            </w:r>
          </w:p>
        </w:tc>
      </w:tr>
      <w:tr w14:paraId="787B6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6A32478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5954" w:type="dxa"/>
            <w:noWrap w:val="0"/>
            <w:vAlign w:val="center"/>
          </w:tcPr>
          <w:p w14:paraId="5D70988F">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遴选</w:t>
            </w:r>
            <w:r>
              <w:rPr>
                <w:rFonts w:ascii="Times New Roman" w:hAnsi="Times New Roman" w:eastAsia="仿宋_GB2312" w:cs="Times New Roman"/>
                <w:sz w:val="24"/>
                <w:szCs w:val="24"/>
              </w:rPr>
              <w:t>300所左右</w:t>
            </w:r>
            <w:r>
              <w:rPr>
                <w:rFonts w:hint="eastAsia" w:ascii="Times New Roman" w:hAnsi="Times New Roman" w:eastAsia="仿宋_GB2312" w:cs="Times New Roman"/>
                <w:sz w:val="24"/>
                <w:szCs w:val="24"/>
              </w:rPr>
              <w:t>优质</w:t>
            </w:r>
            <w:r>
              <w:rPr>
                <w:rFonts w:ascii="Times New Roman" w:hAnsi="Times New Roman" w:eastAsia="仿宋_GB2312" w:cs="Times New Roman"/>
                <w:sz w:val="24"/>
                <w:szCs w:val="24"/>
              </w:rPr>
              <w:t>技工</w:t>
            </w:r>
            <w:r>
              <w:rPr>
                <w:rFonts w:hint="eastAsia" w:ascii="Times New Roman" w:hAnsi="Times New Roman" w:eastAsia="仿宋_GB2312" w:cs="Times New Roman"/>
                <w:sz w:val="24"/>
                <w:szCs w:val="24"/>
              </w:rPr>
              <w:t>学</w:t>
            </w:r>
            <w:r>
              <w:rPr>
                <w:rFonts w:ascii="Times New Roman" w:hAnsi="Times New Roman" w:eastAsia="仿宋_GB2312" w:cs="Times New Roman"/>
                <w:sz w:val="24"/>
                <w:szCs w:val="24"/>
              </w:rPr>
              <w:t>校和300个左右</w:t>
            </w:r>
            <w:r>
              <w:rPr>
                <w:rFonts w:hint="eastAsia" w:ascii="Times New Roman" w:hAnsi="Times New Roman" w:eastAsia="仿宋_GB2312" w:cs="Times New Roman"/>
                <w:sz w:val="24"/>
                <w:szCs w:val="24"/>
              </w:rPr>
              <w:t>优质</w:t>
            </w:r>
            <w:r>
              <w:rPr>
                <w:rFonts w:ascii="Times New Roman" w:hAnsi="Times New Roman" w:eastAsia="仿宋_GB2312" w:cs="Times New Roman"/>
                <w:sz w:val="24"/>
                <w:szCs w:val="24"/>
              </w:rPr>
              <w:t>专业</w:t>
            </w:r>
          </w:p>
        </w:tc>
        <w:tc>
          <w:tcPr>
            <w:tcW w:w="2551" w:type="dxa"/>
            <w:noWrap w:val="0"/>
            <w:vAlign w:val="center"/>
          </w:tcPr>
          <w:p w14:paraId="14343DEB">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sz w:val="24"/>
                <w:szCs w:val="24"/>
              </w:rPr>
            </w:pPr>
            <w:r>
              <w:rPr>
                <w:rFonts w:hint="eastAsia" w:ascii="Times New Roman" w:hAnsi="Times New Roman" w:eastAsia="仿宋_GB2312" w:cs="Times New Roman"/>
                <w:kern w:val="0"/>
                <w:sz w:val="24"/>
                <w:szCs w:val="24"/>
              </w:rPr>
              <w:t>人力资源社会保障</w:t>
            </w:r>
            <w:r>
              <w:rPr>
                <w:rFonts w:hint="eastAsia" w:ascii="Times New Roman" w:hAnsi="Times New Roman" w:eastAsia="仿宋_GB2312" w:cs="Times New Roman"/>
                <w:sz w:val="24"/>
                <w:szCs w:val="24"/>
              </w:rPr>
              <w:t>部</w:t>
            </w:r>
            <w:r>
              <w:rPr>
                <w:rFonts w:hint="eastAsia" w:ascii="Times New Roman" w:hAnsi="Times New Roman" w:eastAsia="仿宋_GB2312" w:cs="Times New Roman"/>
                <w:kern w:val="0"/>
                <w:sz w:val="24"/>
                <w:szCs w:val="24"/>
              </w:rPr>
              <w:t>，各地有关部门</w:t>
            </w:r>
          </w:p>
        </w:tc>
      </w:tr>
      <w:tr w14:paraId="39A0F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40A04AC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9</w:t>
            </w:r>
          </w:p>
        </w:tc>
        <w:tc>
          <w:tcPr>
            <w:tcW w:w="5954" w:type="dxa"/>
            <w:noWrap w:val="0"/>
            <w:vAlign w:val="center"/>
          </w:tcPr>
          <w:p w14:paraId="230A25CF">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推进中国特色高水平高职学校和专业建设计划</w:t>
            </w:r>
            <w:r>
              <w:rPr>
                <w:rFonts w:hint="eastAsia" w:ascii="Times New Roman" w:hAnsi="Times New Roman" w:eastAsia="仿宋_GB2312" w:cs="Times New Roman"/>
                <w:sz w:val="24"/>
                <w:szCs w:val="24"/>
              </w:rPr>
              <w:t xml:space="preserve"> </w:t>
            </w:r>
          </w:p>
        </w:tc>
        <w:tc>
          <w:tcPr>
            <w:tcW w:w="2551" w:type="dxa"/>
            <w:noWrap w:val="0"/>
            <w:vAlign w:val="center"/>
          </w:tcPr>
          <w:p w14:paraId="25EFC540">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教育部、财政部</w:t>
            </w:r>
            <w:r>
              <w:rPr>
                <w:rFonts w:hint="eastAsia" w:ascii="Times New Roman" w:hAnsi="Times New Roman" w:eastAsia="仿宋_GB2312" w:cs="Times New Roman"/>
                <w:kern w:val="0"/>
                <w:sz w:val="24"/>
                <w:szCs w:val="24"/>
              </w:rPr>
              <w:t>，各地有关部门</w:t>
            </w:r>
          </w:p>
        </w:tc>
      </w:tr>
      <w:tr w14:paraId="79E8C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46F1E79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5954" w:type="dxa"/>
            <w:noWrap w:val="0"/>
            <w:vAlign w:val="center"/>
          </w:tcPr>
          <w:p w14:paraId="1FE13BFD">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探索高职专业认证</w:t>
            </w:r>
          </w:p>
        </w:tc>
        <w:tc>
          <w:tcPr>
            <w:tcW w:w="2551" w:type="dxa"/>
            <w:noWrap w:val="0"/>
            <w:vAlign w:val="center"/>
          </w:tcPr>
          <w:p w14:paraId="106D4ED7">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14:paraId="15608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551C92A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11</w:t>
            </w:r>
          </w:p>
        </w:tc>
        <w:tc>
          <w:tcPr>
            <w:tcW w:w="5954" w:type="dxa"/>
            <w:noWrap w:val="0"/>
            <w:vAlign w:val="center"/>
          </w:tcPr>
          <w:p w14:paraId="78B299DF">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遴选</w:t>
            </w:r>
            <w:r>
              <w:rPr>
                <w:rFonts w:ascii="Times New Roman" w:hAnsi="Times New Roman" w:eastAsia="仿宋_GB2312" w:cs="Times New Roman"/>
                <w:sz w:val="24"/>
                <w:szCs w:val="24"/>
              </w:rPr>
              <w:t>300所</w:t>
            </w:r>
            <w:r>
              <w:rPr>
                <w:rFonts w:hint="eastAsia" w:ascii="Times New Roman" w:hAnsi="Times New Roman" w:eastAsia="仿宋_GB2312" w:cs="Times New Roman"/>
                <w:sz w:val="24"/>
                <w:szCs w:val="24"/>
              </w:rPr>
              <w:t>左右</w:t>
            </w:r>
            <w:r>
              <w:rPr>
                <w:rFonts w:ascii="Times New Roman" w:hAnsi="Times New Roman" w:eastAsia="仿宋_GB2312" w:cs="Times New Roman"/>
                <w:sz w:val="24"/>
                <w:szCs w:val="24"/>
              </w:rPr>
              <w:t>省域高水平高职学校和600个</w:t>
            </w:r>
            <w:r>
              <w:rPr>
                <w:rFonts w:hint="eastAsia" w:ascii="Times New Roman" w:hAnsi="Times New Roman" w:eastAsia="仿宋_GB2312" w:cs="Times New Roman"/>
                <w:sz w:val="24"/>
                <w:szCs w:val="24"/>
              </w:rPr>
              <w:t>左右</w:t>
            </w:r>
            <w:r>
              <w:rPr>
                <w:rFonts w:ascii="Times New Roman" w:hAnsi="Times New Roman" w:eastAsia="仿宋_GB2312" w:cs="Times New Roman"/>
                <w:sz w:val="24"/>
                <w:szCs w:val="24"/>
              </w:rPr>
              <w:t>高水平专业群</w:t>
            </w:r>
          </w:p>
        </w:tc>
        <w:tc>
          <w:tcPr>
            <w:tcW w:w="2551" w:type="dxa"/>
            <w:noWrap w:val="0"/>
            <w:vAlign w:val="center"/>
          </w:tcPr>
          <w:p w14:paraId="48364E57">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14:paraId="2F8F1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tcBorders>
              <w:bottom w:val="single" w:color="auto" w:sz="4" w:space="0"/>
            </w:tcBorders>
            <w:noWrap w:val="0"/>
            <w:vAlign w:val="center"/>
          </w:tcPr>
          <w:p w14:paraId="5F0008E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12</w:t>
            </w:r>
          </w:p>
        </w:tc>
        <w:tc>
          <w:tcPr>
            <w:tcW w:w="5954" w:type="dxa"/>
            <w:noWrap w:val="0"/>
            <w:vAlign w:val="center"/>
          </w:tcPr>
          <w:p w14:paraId="32810475">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推进</w:t>
            </w:r>
            <w:r>
              <w:rPr>
                <w:rFonts w:ascii="Times New Roman" w:hAnsi="Times New Roman" w:eastAsia="仿宋_GB2312" w:cs="Times New Roman"/>
                <w:sz w:val="24"/>
                <w:szCs w:val="24"/>
              </w:rPr>
              <w:t>本科层次职业教育试点</w:t>
            </w:r>
          </w:p>
        </w:tc>
        <w:tc>
          <w:tcPr>
            <w:tcW w:w="2551" w:type="dxa"/>
            <w:noWrap w:val="0"/>
            <w:vAlign w:val="center"/>
          </w:tcPr>
          <w:p w14:paraId="51105043">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14:paraId="6204F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tcBorders>
              <w:bottom w:val="single" w:color="auto" w:sz="4" w:space="0"/>
            </w:tcBorders>
            <w:noWrap w:val="0"/>
            <w:vAlign w:val="center"/>
          </w:tcPr>
          <w:p w14:paraId="101EA6E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13</w:t>
            </w:r>
          </w:p>
        </w:tc>
        <w:tc>
          <w:tcPr>
            <w:tcW w:w="5954" w:type="dxa"/>
            <w:noWrap w:val="0"/>
            <w:vAlign w:val="center"/>
          </w:tcPr>
          <w:p w14:paraId="28EA2341">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推动具备条件的</w:t>
            </w:r>
            <w:r>
              <w:rPr>
                <w:rFonts w:hint="eastAsia" w:ascii="Times New Roman" w:hAnsi="Times New Roman" w:eastAsia="仿宋_GB2312" w:cs="Times New Roman"/>
                <w:sz w:val="24"/>
                <w:szCs w:val="24"/>
              </w:rPr>
              <w:t>普通</w:t>
            </w:r>
            <w:r>
              <w:rPr>
                <w:rFonts w:ascii="Times New Roman" w:hAnsi="Times New Roman" w:eastAsia="仿宋_GB2312" w:cs="Times New Roman"/>
                <w:sz w:val="24"/>
                <w:szCs w:val="24"/>
              </w:rPr>
              <w:t>本科</w:t>
            </w:r>
            <w:r>
              <w:rPr>
                <w:rFonts w:hint="eastAsia" w:ascii="Times New Roman" w:hAnsi="Times New Roman" w:eastAsia="仿宋_GB2312" w:cs="Times New Roman"/>
                <w:sz w:val="24"/>
                <w:szCs w:val="24"/>
              </w:rPr>
              <w:t>高</w:t>
            </w:r>
            <w:r>
              <w:rPr>
                <w:rFonts w:ascii="Times New Roman" w:hAnsi="Times New Roman" w:eastAsia="仿宋_GB2312" w:cs="Times New Roman"/>
                <w:sz w:val="24"/>
                <w:szCs w:val="24"/>
              </w:rPr>
              <w:t>校向应用型转变</w:t>
            </w:r>
          </w:p>
        </w:tc>
        <w:tc>
          <w:tcPr>
            <w:tcW w:w="2551" w:type="dxa"/>
            <w:noWrap w:val="0"/>
            <w:vAlign w:val="center"/>
          </w:tcPr>
          <w:p w14:paraId="2CECFD09">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14:paraId="0F842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 w:hRule="atLeast"/>
          <w:jc w:val="center"/>
        </w:trPr>
        <w:tc>
          <w:tcPr>
            <w:tcW w:w="9209" w:type="dxa"/>
            <w:gridSpan w:val="3"/>
            <w:tcBorders>
              <w:bottom w:val="single" w:color="auto" w:sz="4" w:space="0"/>
            </w:tcBorders>
            <w:noWrap w:val="0"/>
            <w:vAlign w:val="center"/>
          </w:tcPr>
          <w:p w14:paraId="672B504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黑体" w:hAnsi="黑体" w:eastAsia="黑体" w:cs="Times New Roman"/>
                <w:sz w:val="24"/>
                <w:szCs w:val="24"/>
              </w:rPr>
            </w:pPr>
            <w:r>
              <w:rPr>
                <w:rFonts w:hint="eastAsia" w:ascii="黑体" w:hAnsi="黑体" w:eastAsia="黑体" w:cs="Times New Roman"/>
                <w:sz w:val="24"/>
                <w:szCs w:val="24"/>
              </w:rPr>
              <w:t>完善服务全民终身学习的制度体系</w:t>
            </w:r>
          </w:p>
        </w:tc>
      </w:tr>
      <w:tr w14:paraId="6AA6E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7D57773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sz w:val="24"/>
                <w:szCs w:val="24"/>
              </w:rPr>
              <w:t>14</w:t>
            </w:r>
          </w:p>
        </w:tc>
        <w:tc>
          <w:tcPr>
            <w:tcW w:w="5954" w:type="dxa"/>
            <w:noWrap w:val="0"/>
            <w:vAlign w:val="center"/>
          </w:tcPr>
          <w:p w14:paraId="75C20223">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加快建设职业教育国家“学分银行”，健全学习成果的认定、积累和转换制度，制定学时学分记录规则</w:t>
            </w:r>
          </w:p>
        </w:tc>
        <w:tc>
          <w:tcPr>
            <w:tcW w:w="2551" w:type="dxa"/>
            <w:noWrap w:val="0"/>
            <w:vAlign w:val="center"/>
          </w:tcPr>
          <w:p w14:paraId="4027F5B4">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14:paraId="5213D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39DA634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15</w:t>
            </w:r>
          </w:p>
        </w:tc>
        <w:tc>
          <w:tcPr>
            <w:tcW w:w="5954" w:type="dxa"/>
            <w:noWrap w:val="0"/>
            <w:vAlign w:val="center"/>
          </w:tcPr>
          <w:p w14:paraId="727B1894">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sz w:val="24"/>
                <w:szCs w:val="24"/>
              </w:rPr>
            </w:pPr>
            <w:r>
              <w:rPr>
                <w:rFonts w:ascii="Times New Roman" w:hAnsi="Times New Roman" w:eastAsia="仿宋_GB2312" w:cs="Times New Roman"/>
                <w:kern w:val="0"/>
                <w:sz w:val="24"/>
                <w:szCs w:val="24"/>
              </w:rPr>
              <w:t>支持职业学校承担更多</w:t>
            </w:r>
            <w:r>
              <w:rPr>
                <w:rFonts w:hint="eastAsia" w:ascii="Times New Roman" w:hAnsi="Times New Roman" w:eastAsia="仿宋_GB2312" w:cs="Times New Roman"/>
                <w:kern w:val="0"/>
                <w:sz w:val="24"/>
                <w:szCs w:val="24"/>
              </w:rPr>
              <w:t>培训</w:t>
            </w:r>
            <w:r>
              <w:rPr>
                <w:rFonts w:ascii="Times New Roman" w:hAnsi="Times New Roman" w:eastAsia="仿宋_GB2312" w:cs="Times New Roman"/>
                <w:kern w:val="0"/>
                <w:sz w:val="24"/>
                <w:szCs w:val="24"/>
              </w:rPr>
              <w:t>任务，</w:t>
            </w:r>
            <w:r>
              <w:rPr>
                <w:rFonts w:hint="eastAsia" w:ascii="Times New Roman" w:hAnsi="Times New Roman" w:eastAsia="仿宋_GB2312" w:cs="Times New Roman"/>
                <w:kern w:val="0"/>
                <w:sz w:val="24"/>
                <w:szCs w:val="24"/>
              </w:rPr>
              <w:t>实现优质</w:t>
            </w:r>
            <w:r>
              <w:rPr>
                <w:rFonts w:ascii="Times New Roman" w:hAnsi="Times New Roman" w:eastAsia="仿宋_GB2312" w:cs="Times New Roman"/>
                <w:kern w:val="0"/>
                <w:sz w:val="24"/>
                <w:szCs w:val="24"/>
              </w:rPr>
              <w:t>职业学校年职业培训人次达到在校生规模的2倍以上</w:t>
            </w:r>
          </w:p>
        </w:tc>
        <w:tc>
          <w:tcPr>
            <w:tcW w:w="2551" w:type="dxa"/>
            <w:noWrap w:val="0"/>
            <w:vAlign w:val="center"/>
          </w:tcPr>
          <w:p w14:paraId="7CD92003">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sz w:val="24"/>
                <w:szCs w:val="24"/>
              </w:rPr>
            </w:pPr>
            <w:r>
              <w:rPr>
                <w:rFonts w:hint="eastAsia" w:ascii="Times New Roman" w:hAnsi="Times New Roman" w:eastAsia="仿宋_GB2312" w:cs="Times New Roman"/>
                <w:kern w:val="0"/>
                <w:sz w:val="24"/>
                <w:szCs w:val="24"/>
              </w:rPr>
              <w:t>人力资源社会保障</w:t>
            </w:r>
            <w:r>
              <w:rPr>
                <w:rFonts w:ascii="Times New Roman" w:hAnsi="Times New Roman" w:eastAsia="仿宋_GB2312" w:cs="Times New Roman"/>
                <w:sz w:val="24"/>
                <w:szCs w:val="24"/>
              </w:rPr>
              <w:t>部、</w:t>
            </w:r>
            <w:r>
              <w:rPr>
                <w:rFonts w:hint="eastAsia"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14:paraId="01997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3E2DFAB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16</w:t>
            </w:r>
          </w:p>
        </w:tc>
        <w:tc>
          <w:tcPr>
            <w:tcW w:w="5954" w:type="dxa"/>
            <w:noWrap w:val="0"/>
            <w:vAlign w:val="center"/>
          </w:tcPr>
          <w:p w14:paraId="4995918F">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sz w:val="24"/>
                <w:szCs w:val="24"/>
              </w:rPr>
            </w:pPr>
            <w:r>
              <w:rPr>
                <w:rFonts w:ascii="Times New Roman" w:hAnsi="Times New Roman" w:eastAsia="仿宋_GB2312" w:cs="Times New Roman"/>
                <w:kern w:val="0"/>
                <w:sz w:val="24"/>
                <w:szCs w:val="24"/>
              </w:rPr>
              <w:t>推进1+X证书制度试点</w:t>
            </w:r>
          </w:p>
        </w:tc>
        <w:tc>
          <w:tcPr>
            <w:tcW w:w="2551" w:type="dxa"/>
            <w:noWrap w:val="0"/>
            <w:vAlign w:val="center"/>
          </w:tcPr>
          <w:p w14:paraId="55176242">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人力资源社会保障</w:t>
            </w:r>
            <w:r>
              <w:rPr>
                <w:rFonts w:ascii="Times New Roman" w:hAnsi="Times New Roman" w:eastAsia="仿宋_GB2312" w:cs="Times New Roman"/>
                <w:sz w:val="24"/>
                <w:szCs w:val="24"/>
              </w:rPr>
              <w:t>部、</w:t>
            </w:r>
            <w:r>
              <w:rPr>
                <w:rFonts w:hint="eastAsia" w:ascii="Times New Roman" w:hAnsi="Times New Roman" w:eastAsia="仿宋_GB2312" w:cs="Times New Roman"/>
                <w:sz w:val="24"/>
                <w:szCs w:val="24"/>
              </w:rPr>
              <w:t>有关行业部门</w:t>
            </w:r>
            <w:r>
              <w:rPr>
                <w:rFonts w:hint="eastAsia" w:ascii="Times New Roman" w:hAnsi="Times New Roman" w:eastAsia="仿宋_GB2312" w:cs="Times New Roman"/>
                <w:kern w:val="0"/>
                <w:sz w:val="24"/>
                <w:szCs w:val="24"/>
              </w:rPr>
              <w:t>，各地有关部门</w:t>
            </w:r>
          </w:p>
        </w:tc>
      </w:tr>
      <w:tr w14:paraId="2845C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0EEB5A1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r>
              <w:rPr>
                <w:rFonts w:ascii="Times New Roman" w:hAnsi="Times New Roman" w:eastAsia="仿宋_GB2312" w:cs="Times New Roman"/>
                <w:sz w:val="24"/>
                <w:szCs w:val="24"/>
              </w:rPr>
              <w:t>7</w:t>
            </w:r>
          </w:p>
        </w:tc>
        <w:tc>
          <w:tcPr>
            <w:tcW w:w="5954" w:type="dxa"/>
            <w:noWrap w:val="0"/>
            <w:vAlign w:val="center"/>
          </w:tcPr>
          <w:p w14:paraId="14707105">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sz w:val="24"/>
                <w:szCs w:val="24"/>
              </w:rPr>
            </w:pPr>
            <w:r>
              <w:rPr>
                <w:rFonts w:hint="eastAsia" w:ascii="Times New Roman" w:hAnsi="Times New Roman" w:eastAsia="仿宋_GB2312" w:cs="Times New Roman"/>
                <w:kern w:val="0"/>
                <w:sz w:val="24"/>
                <w:szCs w:val="24"/>
              </w:rPr>
              <w:t>引导职业学校和龙头企业联合建设</w:t>
            </w:r>
            <w:r>
              <w:rPr>
                <w:rFonts w:ascii="Times New Roman" w:hAnsi="Times New Roman" w:eastAsia="仿宋_GB2312" w:cs="Times New Roman"/>
                <w:kern w:val="0"/>
                <w:sz w:val="24"/>
                <w:szCs w:val="24"/>
              </w:rPr>
              <w:t>500个左右示范性职工培训基地</w:t>
            </w:r>
          </w:p>
        </w:tc>
        <w:tc>
          <w:tcPr>
            <w:tcW w:w="2551" w:type="dxa"/>
            <w:noWrap w:val="0"/>
            <w:vAlign w:val="center"/>
          </w:tcPr>
          <w:p w14:paraId="589D8624">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人力资源社会保障部，各地有关部门</w:t>
            </w:r>
          </w:p>
        </w:tc>
      </w:tr>
      <w:tr w14:paraId="35E86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275E830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18</w:t>
            </w:r>
          </w:p>
        </w:tc>
        <w:tc>
          <w:tcPr>
            <w:tcW w:w="5954" w:type="dxa"/>
            <w:noWrap w:val="0"/>
            <w:vAlign w:val="center"/>
          </w:tcPr>
          <w:p w14:paraId="1C53B298">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遴选</w:t>
            </w:r>
            <w:r>
              <w:rPr>
                <w:rFonts w:ascii="Times New Roman" w:hAnsi="Times New Roman" w:eastAsia="仿宋_GB2312" w:cs="Times New Roman"/>
                <w:sz w:val="24"/>
                <w:szCs w:val="24"/>
              </w:rPr>
              <w:t>200个左右示范性继续教育基地、2000门左右优质继续教育网络课程</w:t>
            </w:r>
            <w:r>
              <w:rPr>
                <w:rFonts w:hint="eastAsia" w:ascii="Times New Roman" w:hAnsi="Times New Roman" w:eastAsia="仿宋_GB2312" w:cs="Times New Roman"/>
                <w:sz w:val="24"/>
                <w:szCs w:val="24"/>
              </w:rPr>
              <w:t>；遴选</w:t>
            </w:r>
            <w:r>
              <w:rPr>
                <w:rFonts w:ascii="Times New Roman" w:hAnsi="Times New Roman" w:eastAsia="仿宋_GB2312" w:cs="Times New Roman"/>
                <w:sz w:val="24"/>
                <w:szCs w:val="24"/>
              </w:rPr>
              <w:t>500个左右社区教育示范基地和老年大学示范校</w:t>
            </w:r>
          </w:p>
        </w:tc>
        <w:tc>
          <w:tcPr>
            <w:tcW w:w="2551" w:type="dxa"/>
            <w:noWrap w:val="0"/>
            <w:vAlign w:val="center"/>
          </w:tcPr>
          <w:p w14:paraId="2CE5D363">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14:paraId="6827B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2" w:hRule="atLeast"/>
          <w:jc w:val="center"/>
        </w:trPr>
        <w:tc>
          <w:tcPr>
            <w:tcW w:w="9209" w:type="dxa"/>
            <w:gridSpan w:val="3"/>
            <w:noWrap w:val="0"/>
            <w:vAlign w:val="center"/>
          </w:tcPr>
          <w:p w14:paraId="672327C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黑体" w:hAnsi="黑体" w:eastAsia="黑体" w:cs="Times New Roman"/>
                <w:sz w:val="24"/>
                <w:szCs w:val="24"/>
              </w:rPr>
            </w:pPr>
            <w:r>
              <w:rPr>
                <w:rFonts w:hint="eastAsia" w:ascii="黑体" w:hAnsi="黑体" w:eastAsia="黑体" w:cs="Times New Roman"/>
                <w:sz w:val="24"/>
                <w:szCs w:val="24"/>
              </w:rPr>
              <w:t>深化职业教育产教融合校企合作</w:t>
            </w:r>
          </w:p>
        </w:tc>
      </w:tr>
      <w:tr w14:paraId="08268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10D10A6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19</w:t>
            </w:r>
          </w:p>
        </w:tc>
        <w:tc>
          <w:tcPr>
            <w:tcW w:w="5954" w:type="dxa"/>
            <w:noWrap w:val="0"/>
            <w:vAlign w:val="center"/>
          </w:tcPr>
          <w:p w14:paraId="60006A82">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建立产业人才数据平台，研制职业教育产教对接谱系图</w:t>
            </w:r>
          </w:p>
        </w:tc>
        <w:tc>
          <w:tcPr>
            <w:tcW w:w="2551" w:type="dxa"/>
            <w:noWrap w:val="0"/>
            <w:vAlign w:val="center"/>
          </w:tcPr>
          <w:p w14:paraId="462B9D53">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工业和信息化部、教育部、有关行业部门，各地有关部门</w:t>
            </w:r>
          </w:p>
        </w:tc>
      </w:tr>
      <w:tr w14:paraId="34342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383AD6D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20</w:t>
            </w:r>
          </w:p>
        </w:tc>
        <w:tc>
          <w:tcPr>
            <w:tcW w:w="5954" w:type="dxa"/>
            <w:noWrap w:val="0"/>
            <w:vAlign w:val="center"/>
          </w:tcPr>
          <w:p w14:paraId="553641DD">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遴选建设一批</w:t>
            </w:r>
            <w:r>
              <w:rPr>
                <w:rFonts w:ascii="Times New Roman" w:hAnsi="Times New Roman" w:eastAsia="仿宋_GB2312" w:cs="Times New Roman"/>
                <w:kern w:val="0"/>
                <w:sz w:val="24"/>
                <w:szCs w:val="24"/>
              </w:rPr>
              <w:t>产教融合型城市</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培育</w:t>
            </w:r>
            <w:r>
              <w:rPr>
                <w:rFonts w:hint="eastAsia" w:ascii="Times New Roman" w:hAnsi="Times New Roman" w:eastAsia="仿宋_GB2312" w:cs="Times New Roman"/>
                <w:kern w:val="0"/>
                <w:sz w:val="24"/>
                <w:szCs w:val="24"/>
              </w:rPr>
              <w:t>数以万计的</w:t>
            </w:r>
            <w:r>
              <w:rPr>
                <w:rFonts w:ascii="Times New Roman" w:hAnsi="Times New Roman" w:eastAsia="仿宋_GB2312" w:cs="Times New Roman"/>
                <w:kern w:val="0"/>
                <w:sz w:val="24"/>
                <w:szCs w:val="24"/>
              </w:rPr>
              <w:t>产教融合型企业</w:t>
            </w:r>
          </w:p>
        </w:tc>
        <w:tc>
          <w:tcPr>
            <w:tcW w:w="2551" w:type="dxa"/>
            <w:noWrap w:val="0"/>
            <w:vAlign w:val="center"/>
          </w:tcPr>
          <w:p w14:paraId="361B58AB">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国家</w:t>
            </w:r>
            <w:r>
              <w:rPr>
                <w:rFonts w:ascii="Times New Roman" w:hAnsi="Times New Roman" w:eastAsia="仿宋_GB2312" w:cs="Times New Roman"/>
                <w:kern w:val="0"/>
                <w:sz w:val="24"/>
                <w:szCs w:val="24"/>
              </w:rPr>
              <w:t>发</w:t>
            </w:r>
            <w:r>
              <w:rPr>
                <w:rFonts w:hint="eastAsia" w:ascii="Times New Roman" w:hAnsi="Times New Roman" w:eastAsia="仿宋_GB2312" w:cs="Times New Roman"/>
                <w:kern w:val="0"/>
                <w:sz w:val="24"/>
                <w:szCs w:val="24"/>
              </w:rPr>
              <w:t>展</w:t>
            </w:r>
            <w:r>
              <w:rPr>
                <w:rFonts w:ascii="Times New Roman" w:hAnsi="Times New Roman" w:eastAsia="仿宋_GB2312" w:cs="Times New Roman"/>
                <w:kern w:val="0"/>
                <w:sz w:val="24"/>
                <w:szCs w:val="24"/>
              </w:rPr>
              <w:t>改</w:t>
            </w:r>
            <w:r>
              <w:rPr>
                <w:rFonts w:hint="eastAsia" w:ascii="Times New Roman" w:hAnsi="Times New Roman" w:eastAsia="仿宋_GB2312" w:cs="Times New Roman"/>
                <w:kern w:val="0"/>
                <w:sz w:val="24"/>
                <w:szCs w:val="24"/>
              </w:rPr>
              <w:t>革</w:t>
            </w:r>
            <w:r>
              <w:rPr>
                <w:rFonts w:ascii="Times New Roman" w:hAnsi="Times New Roman" w:eastAsia="仿宋_GB2312" w:cs="Times New Roman"/>
                <w:kern w:val="0"/>
                <w:sz w:val="24"/>
                <w:szCs w:val="24"/>
              </w:rPr>
              <w:t>委、教育部</w:t>
            </w:r>
            <w:r>
              <w:rPr>
                <w:rFonts w:hint="eastAsia" w:ascii="Times New Roman" w:hAnsi="Times New Roman" w:eastAsia="仿宋_GB2312" w:cs="Times New Roman"/>
                <w:kern w:val="0"/>
                <w:sz w:val="24"/>
                <w:szCs w:val="24"/>
              </w:rPr>
              <w:t>，各地有关部门</w:t>
            </w:r>
          </w:p>
        </w:tc>
      </w:tr>
      <w:tr w14:paraId="115F3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568FEFC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sz w:val="24"/>
                <w:szCs w:val="24"/>
              </w:rPr>
              <w:t>21</w:t>
            </w:r>
          </w:p>
        </w:tc>
        <w:tc>
          <w:tcPr>
            <w:tcW w:w="5954" w:type="dxa"/>
            <w:noWrap w:val="0"/>
            <w:vAlign w:val="center"/>
          </w:tcPr>
          <w:p w14:paraId="42FC9C45">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sz w:val="24"/>
                <w:szCs w:val="24"/>
              </w:rPr>
              <w:t>实施国家级职成教示范县助力乡村振兴人才培养计划</w:t>
            </w:r>
          </w:p>
        </w:tc>
        <w:tc>
          <w:tcPr>
            <w:tcW w:w="2551" w:type="dxa"/>
            <w:noWrap w:val="0"/>
            <w:vAlign w:val="center"/>
          </w:tcPr>
          <w:p w14:paraId="35F38D6F">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人力资源社会保障</w:t>
            </w:r>
            <w:r>
              <w:rPr>
                <w:rFonts w:hint="eastAsia" w:ascii="Times New Roman" w:hAnsi="Times New Roman" w:eastAsia="仿宋_GB2312" w:cs="Times New Roman"/>
                <w:sz w:val="24"/>
                <w:szCs w:val="24"/>
              </w:rPr>
              <w:t>部、农业农村部、扶贫办，</w:t>
            </w:r>
            <w:r>
              <w:rPr>
                <w:rFonts w:hint="eastAsia" w:ascii="Times New Roman" w:hAnsi="Times New Roman" w:eastAsia="仿宋_GB2312" w:cs="Times New Roman"/>
                <w:kern w:val="0"/>
                <w:sz w:val="24"/>
                <w:szCs w:val="24"/>
              </w:rPr>
              <w:t>各地有关部门</w:t>
            </w:r>
          </w:p>
        </w:tc>
      </w:tr>
      <w:tr w14:paraId="5192C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2D218D1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w:t>
            </w:r>
            <w:r>
              <w:rPr>
                <w:rFonts w:ascii="Times New Roman" w:hAnsi="Times New Roman" w:eastAsia="仿宋_GB2312" w:cs="Times New Roman"/>
                <w:kern w:val="0"/>
                <w:sz w:val="24"/>
                <w:szCs w:val="24"/>
              </w:rPr>
              <w:t>2</w:t>
            </w:r>
          </w:p>
        </w:tc>
        <w:tc>
          <w:tcPr>
            <w:tcW w:w="5954" w:type="dxa"/>
            <w:noWrap w:val="0"/>
            <w:vAlign w:val="center"/>
          </w:tcPr>
          <w:p w14:paraId="01E3C90C">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依托国有企业、大型民企建立</w:t>
            </w:r>
            <w:r>
              <w:rPr>
                <w:rFonts w:ascii="Times New Roman" w:hAnsi="Times New Roman" w:eastAsia="仿宋_GB2312" w:cs="Times New Roman"/>
                <w:kern w:val="0"/>
                <w:sz w:val="24"/>
                <w:szCs w:val="24"/>
              </w:rPr>
              <w:t>1000个</w:t>
            </w:r>
            <w:r>
              <w:rPr>
                <w:rFonts w:hint="eastAsia" w:ascii="Times New Roman" w:hAnsi="Times New Roman" w:eastAsia="仿宋_GB2312" w:cs="Times New Roman"/>
                <w:kern w:val="0"/>
                <w:sz w:val="24"/>
                <w:szCs w:val="24"/>
              </w:rPr>
              <w:t>左右</w:t>
            </w:r>
            <w:r>
              <w:rPr>
                <w:rFonts w:ascii="Times New Roman" w:hAnsi="Times New Roman" w:eastAsia="仿宋_GB2312" w:cs="Times New Roman"/>
                <w:kern w:val="0"/>
                <w:sz w:val="24"/>
                <w:szCs w:val="24"/>
              </w:rPr>
              <w:t>示范性</w:t>
            </w:r>
            <w:r>
              <w:rPr>
                <w:rFonts w:hint="eastAsia" w:ascii="Times New Roman" w:hAnsi="Times New Roman" w:eastAsia="仿宋_GB2312" w:cs="Times New Roman"/>
                <w:kern w:val="0"/>
                <w:sz w:val="24"/>
                <w:szCs w:val="24"/>
              </w:rPr>
              <w:t>教师企业实践</w:t>
            </w:r>
            <w:r>
              <w:rPr>
                <w:rFonts w:ascii="Times New Roman" w:hAnsi="Times New Roman" w:eastAsia="仿宋_GB2312" w:cs="Times New Roman"/>
                <w:kern w:val="0"/>
                <w:sz w:val="24"/>
                <w:szCs w:val="24"/>
              </w:rPr>
              <w:t>流动站</w:t>
            </w:r>
          </w:p>
        </w:tc>
        <w:tc>
          <w:tcPr>
            <w:tcW w:w="2551" w:type="dxa"/>
            <w:noWrap w:val="0"/>
            <w:vAlign w:val="center"/>
          </w:tcPr>
          <w:p w14:paraId="5EC6C1C8">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14:paraId="22DE0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74834AC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w:t>
            </w:r>
            <w:r>
              <w:rPr>
                <w:rFonts w:ascii="Times New Roman" w:hAnsi="Times New Roman" w:eastAsia="仿宋_GB2312" w:cs="Times New Roman"/>
                <w:kern w:val="0"/>
                <w:sz w:val="24"/>
                <w:szCs w:val="24"/>
              </w:rPr>
              <w:t>3</w:t>
            </w:r>
          </w:p>
        </w:tc>
        <w:tc>
          <w:tcPr>
            <w:tcW w:w="5954" w:type="dxa"/>
            <w:noWrap w:val="0"/>
            <w:vAlign w:val="center"/>
          </w:tcPr>
          <w:p w14:paraId="37E79504">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打造</w:t>
            </w:r>
            <w:r>
              <w:rPr>
                <w:rFonts w:ascii="Times New Roman" w:hAnsi="Times New Roman" w:eastAsia="仿宋_GB2312" w:cs="Times New Roman"/>
                <w:kern w:val="0"/>
                <w:sz w:val="24"/>
                <w:szCs w:val="24"/>
              </w:rPr>
              <w:t>500个左右实体化运行的示范性职教集团（联盟）</w:t>
            </w:r>
          </w:p>
        </w:tc>
        <w:tc>
          <w:tcPr>
            <w:tcW w:w="2551" w:type="dxa"/>
            <w:noWrap w:val="0"/>
            <w:vAlign w:val="center"/>
          </w:tcPr>
          <w:p w14:paraId="27BCBC75">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sz w:val="24"/>
                <w:szCs w:val="24"/>
              </w:rPr>
              <w:t>有关行业部门</w:t>
            </w:r>
            <w:r>
              <w:rPr>
                <w:rFonts w:hint="eastAsia" w:ascii="Times New Roman" w:hAnsi="Times New Roman" w:eastAsia="仿宋_GB2312" w:cs="Times New Roman"/>
                <w:kern w:val="0"/>
                <w:sz w:val="24"/>
                <w:szCs w:val="24"/>
              </w:rPr>
              <w:t>，各地有关部门</w:t>
            </w:r>
          </w:p>
        </w:tc>
      </w:tr>
      <w:tr w14:paraId="0B0AA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153E063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w:t>
            </w:r>
            <w:r>
              <w:rPr>
                <w:rFonts w:ascii="Times New Roman" w:hAnsi="Times New Roman" w:eastAsia="仿宋_GB2312" w:cs="Times New Roman"/>
                <w:kern w:val="0"/>
                <w:sz w:val="24"/>
                <w:szCs w:val="24"/>
              </w:rPr>
              <w:t>4</w:t>
            </w:r>
          </w:p>
        </w:tc>
        <w:tc>
          <w:tcPr>
            <w:tcW w:w="5954" w:type="dxa"/>
            <w:noWrap w:val="0"/>
            <w:vAlign w:val="center"/>
          </w:tcPr>
          <w:p w14:paraId="01054A25">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打造</w:t>
            </w:r>
            <w:r>
              <w:rPr>
                <w:rFonts w:ascii="Times New Roman" w:hAnsi="Times New Roman" w:eastAsia="仿宋_GB2312" w:cs="Times New Roman"/>
                <w:kern w:val="0"/>
                <w:sz w:val="24"/>
                <w:szCs w:val="24"/>
              </w:rPr>
              <w:t>100个左右技工教育集团（联盟）</w:t>
            </w:r>
          </w:p>
        </w:tc>
        <w:tc>
          <w:tcPr>
            <w:tcW w:w="2551" w:type="dxa"/>
            <w:noWrap w:val="0"/>
            <w:vAlign w:val="center"/>
          </w:tcPr>
          <w:p w14:paraId="10CBD74C">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人力资源社会保障部，各地有关部门</w:t>
            </w:r>
          </w:p>
        </w:tc>
      </w:tr>
      <w:tr w14:paraId="0EDFE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0" w:hRule="atLeast"/>
          <w:jc w:val="center"/>
        </w:trPr>
        <w:tc>
          <w:tcPr>
            <w:tcW w:w="704" w:type="dxa"/>
            <w:noWrap w:val="0"/>
            <w:vAlign w:val="center"/>
          </w:tcPr>
          <w:p w14:paraId="4F568FE2">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w:t>
            </w:r>
            <w:r>
              <w:rPr>
                <w:rFonts w:ascii="Times New Roman" w:hAnsi="Times New Roman" w:eastAsia="仿宋_GB2312" w:cs="Times New Roman"/>
                <w:kern w:val="0"/>
                <w:sz w:val="24"/>
                <w:szCs w:val="24"/>
              </w:rPr>
              <w:t>5</w:t>
            </w:r>
          </w:p>
        </w:tc>
        <w:tc>
          <w:tcPr>
            <w:tcW w:w="5954" w:type="dxa"/>
            <w:noWrap w:val="0"/>
            <w:vAlign w:val="center"/>
          </w:tcPr>
          <w:p w14:paraId="28B6FD3F">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推动建设</w:t>
            </w:r>
            <w:r>
              <w:rPr>
                <w:rFonts w:ascii="Times New Roman" w:hAnsi="Times New Roman" w:eastAsia="仿宋_GB2312" w:cs="Times New Roman"/>
                <w:kern w:val="0"/>
                <w:sz w:val="24"/>
                <w:szCs w:val="24"/>
              </w:rPr>
              <w:t>300个左右具有辐射引领作用的高水平专业化产教融合实训基地</w:t>
            </w:r>
          </w:p>
        </w:tc>
        <w:tc>
          <w:tcPr>
            <w:tcW w:w="2551" w:type="dxa"/>
            <w:noWrap w:val="0"/>
            <w:vAlign w:val="center"/>
          </w:tcPr>
          <w:p w14:paraId="4F5D6E3A">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国家发展改革委、工业和信息化部、</w:t>
            </w: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人力资源社会保障部、</w:t>
            </w:r>
            <w:r>
              <w:rPr>
                <w:rFonts w:hint="eastAsia" w:ascii="Times New Roman" w:hAnsi="Times New Roman" w:eastAsia="仿宋_GB2312" w:cs="Times New Roman"/>
                <w:sz w:val="24"/>
                <w:szCs w:val="24"/>
              </w:rPr>
              <w:t>有关行业部门</w:t>
            </w:r>
            <w:r>
              <w:rPr>
                <w:rFonts w:hint="eastAsia" w:ascii="Times New Roman" w:hAnsi="Times New Roman" w:eastAsia="仿宋_GB2312" w:cs="Times New Roman"/>
                <w:kern w:val="0"/>
                <w:sz w:val="24"/>
                <w:szCs w:val="24"/>
              </w:rPr>
              <w:t>，各地有关部门</w:t>
            </w:r>
          </w:p>
        </w:tc>
      </w:tr>
      <w:tr w14:paraId="412E3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5" w:hRule="atLeast"/>
          <w:jc w:val="center"/>
        </w:trPr>
        <w:tc>
          <w:tcPr>
            <w:tcW w:w="704" w:type="dxa"/>
            <w:noWrap w:val="0"/>
            <w:vAlign w:val="center"/>
          </w:tcPr>
          <w:p w14:paraId="12914BD9">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26</w:t>
            </w:r>
          </w:p>
        </w:tc>
        <w:tc>
          <w:tcPr>
            <w:tcW w:w="5954" w:type="dxa"/>
            <w:noWrap w:val="0"/>
            <w:vAlign w:val="center"/>
          </w:tcPr>
          <w:p w14:paraId="2613C482">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建设</w:t>
            </w:r>
            <w:r>
              <w:rPr>
                <w:rFonts w:ascii="Times New Roman" w:hAnsi="Times New Roman" w:eastAsia="仿宋_GB2312" w:cs="Times New Roman"/>
                <w:kern w:val="0"/>
                <w:sz w:val="24"/>
                <w:szCs w:val="24"/>
              </w:rPr>
              <w:t>100所乡村振兴人才培养优质校</w:t>
            </w:r>
          </w:p>
        </w:tc>
        <w:tc>
          <w:tcPr>
            <w:tcW w:w="2551" w:type="dxa"/>
            <w:noWrap w:val="0"/>
            <w:vAlign w:val="center"/>
          </w:tcPr>
          <w:p w14:paraId="10267C29">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农业农村部、教育部，各地有关部门</w:t>
            </w:r>
          </w:p>
        </w:tc>
      </w:tr>
      <w:tr w14:paraId="2BD5D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1" w:hRule="atLeast"/>
          <w:jc w:val="center"/>
        </w:trPr>
        <w:tc>
          <w:tcPr>
            <w:tcW w:w="704" w:type="dxa"/>
            <w:noWrap w:val="0"/>
            <w:vAlign w:val="center"/>
          </w:tcPr>
          <w:p w14:paraId="47BD6A9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r>
              <w:rPr>
                <w:rFonts w:hint="eastAsia" w:ascii="Times New Roman" w:hAnsi="Times New Roman" w:eastAsia="仿宋_GB2312" w:cs="Times New Roman"/>
                <w:kern w:val="0"/>
                <w:sz w:val="24"/>
                <w:szCs w:val="24"/>
              </w:rPr>
              <w:t>7</w:t>
            </w:r>
          </w:p>
        </w:tc>
        <w:tc>
          <w:tcPr>
            <w:tcW w:w="5954" w:type="dxa"/>
            <w:noWrap w:val="0"/>
            <w:vAlign w:val="center"/>
          </w:tcPr>
          <w:p w14:paraId="1E38532D">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建立健全省级产教融合型企业认证制度，落实“金融</w:t>
            </w:r>
            <w:r>
              <w:rPr>
                <w:rFonts w:ascii="Times New Roman" w:hAnsi="Times New Roman" w:eastAsia="仿宋_GB2312" w:cs="Times New Roman"/>
                <w:kern w:val="0"/>
                <w:sz w:val="24"/>
                <w:szCs w:val="24"/>
              </w:rPr>
              <w:t>+财政+土地+信用</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的组合式激励政策</w:t>
            </w:r>
          </w:p>
        </w:tc>
        <w:tc>
          <w:tcPr>
            <w:tcW w:w="2551" w:type="dxa"/>
            <w:noWrap w:val="0"/>
            <w:vAlign w:val="center"/>
          </w:tcPr>
          <w:p w14:paraId="2B3557E3">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各地有关部门</w:t>
            </w:r>
          </w:p>
        </w:tc>
      </w:tr>
      <w:tr w14:paraId="19CD0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jc w:val="center"/>
        </w:trPr>
        <w:tc>
          <w:tcPr>
            <w:tcW w:w="9209" w:type="dxa"/>
            <w:gridSpan w:val="3"/>
            <w:noWrap w:val="0"/>
            <w:vAlign w:val="center"/>
          </w:tcPr>
          <w:p w14:paraId="15792D1E">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黑体" w:hAnsi="黑体" w:eastAsia="黑体" w:cs="Times New Roman"/>
                <w:kern w:val="0"/>
                <w:sz w:val="24"/>
                <w:szCs w:val="24"/>
              </w:rPr>
            </w:pPr>
            <w:r>
              <w:rPr>
                <w:rFonts w:hint="eastAsia" w:ascii="黑体" w:hAnsi="黑体" w:eastAsia="黑体" w:cs="Times New Roman"/>
                <w:kern w:val="0"/>
                <w:sz w:val="24"/>
                <w:szCs w:val="24"/>
              </w:rPr>
              <w:t>健全职业教育考试招生制度</w:t>
            </w:r>
          </w:p>
        </w:tc>
      </w:tr>
      <w:tr w14:paraId="3D086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32D5A74F">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r>
              <w:rPr>
                <w:rFonts w:hint="eastAsia" w:ascii="Times New Roman" w:hAnsi="Times New Roman" w:eastAsia="仿宋_GB2312" w:cs="Times New Roman"/>
                <w:kern w:val="0"/>
                <w:sz w:val="24"/>
                <w:szCs w:val="24"/>
              </w:rPr>
              <w:t>8</w:t>
            </w:r>
          </w:p>
        </w:tc>
        <w:tc>
          <w:tcPr>
            <w:tcW w:w="5954" w:type="dxa"/>
            <w:noWrap w:val="0"/>
            <w:vAlign w:val="center"/>
          </w:tcPr>
          <w:p w14:paraId="51F567D6">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sz w:val="24"/>
                <w:szCs w:val="24"/>
              </w:rPr>
              <w:t>建立健全省级统筹的职业教育考试招生制度，保持分类考试招生为高职学校招生主渠道，推进“文化素质</w:t>
            </w:r>
            <w:r>
              <w:rPr>
                <w:rFonts w:ascii="Times New Roman" w:hAnsi="Times New Roman" w:eastAsia="仿宋_GB2312" w:cs="Times New Roman"/>
                <w:sz w:val="24"/>
                <w:szCs w:val="24"/>
              </w:rPr>
              <w:t>+职业技能</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的评价方式，完善多样化考试录取方式</w:t>
            </w:r>
          </w:p>
        </w:tc>
        <w:tc>
          <w:tcPr>
            <w:tcW w:w="2551" w:type="dxa"/>
            <w:noWrap w:val="0"/>
            <w:vAlign w:val="center"/>
          </w:tcPr>
          <w:p w14:paraId="30539762">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sz w:val="24"/>
                <w:szCs w:val="24"/>
              </w:rPr>
              <w:t>、人力资源社会保障部</w:t>
            </w:r>
            <w:r>
              <w:rPr>
                <w:rFonts w:hint="eastAsia" w:ascii="Times New Roman" w:hAnsi="Times New Roman" w:eastAsia="仿宋_GB2312" w:cs="Times New Roman"/>
                <w:kern w:val="0"/>
                <w:sz w:val="24"/>
                <w:szCs w:val="24"/>
              </w:rPr>
              <w:t>，各地有关部门</w:t>
            </w:r>
          </w:p>
        </w:tc>
      </w:tr>
      <w:tr w14:paraId="79D51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9209" w:type="dxa"/>
            <w:gridSpan w:val="3"/>
            <w:noWrap w:val="0"/>
            <w:vAlign w:val="center"/>
          </w:tcPr>
          <w:p w14:paraId="01E6182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黑体" w:hAnsi="黑体" w:eastAsia="黑体" w:cs="Times New Roman"/>
                <w:sz w:val="24"/>
                <w:szCs w:val="24"/>
              </w:rPr>
            </w:pPr>
            <w:r>
              <w:rPr>
                <w:rFonts w:hint="eastAsia" w:ascii="黑体" w:hAnsi="黑体" w:eastAsia="黑体" w:cs="Times New Roman"/>
                <w:sz w:val="24"/>
                <w:szCs w:val="24"/>
              </w:rPr>
              <w:t>实施职业教育治理能力提升行动</w:t>
            </w:r>
          </w:p>
        </w:tc>
      </w:tr>
      <w:tr w14:paraId="347BE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065177D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r>
              <w:rPr>
                <w:rFonts w:hint="eastAsia" w:ascii="Times New Roman" w:hAnsi="Times New Roman" w:eastAsia="仿宋_GB2312" w:cs="Times New Roman"/>
                <w:kern w:val="0"/>
                <w:sz w:val="24"/>
                <w:szCs w:val="24"/>
              </w:rPr>
              <w:t>9</w:t>
            </w:r>
          </w:p>
        </w:tc>
        <w:tc>
          <w:tcPr>
            <w:tcW w:w="5954" w:type="dxa"/>
            <w:noWrap w:val="0"/>
            <w:vAlign w:val="center"/>
          </w:tcPr>
          <w:p w14:paraId="750E03C8">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lang w:val="zh-CN"/>
              </w:rPr>
              <w:t>适时</w:t>
            </w:r>
            <w:r>
              <w:rPr>
                <w:rFonts w:ascii="Times New Roman" w:hAnsi="Times New Roman" w:eastAsia="仿宋_GB2312" w:cs="Times New Roman"/>
                <w:kern w:val="0"/>
                <w:sz w:val="24"/>
                <w:szCs w:val="24"/>
                <w:lang w:val="zh-CN"/>
              </w:rPr>
              <w:t>修订中职学校、专科高职学校设置标准，研制本科职业学校设置标准</w:t>
            </w:r>
          </w:p>
        </w:tc>
        <w:tc>
          <w:tcPr>
            <w:tcW w:w="2551" w:type="dxa"/>
            <w:noWrap w:val="0"/>
            <w:vAlign w:val="center"/>
          </w:tcPr>
          <w:p w14:paraId="218F15E0">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p>
        </w:tc>
      </w:tr>
      <w:tr w14:paraId="37FF2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3567EC3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30</w:t>
            </w:r>
          </w:p>
        </w:tc>
        <w:tc>
          <w:tcPr>
            <w:tcW w:w="5954" w:type="dxa"/>
            <w:noWrap w:val="0"/>
            <w:vAlign w:val="center"/>
          </w:tcPr>
          <w:p w14:paraId="16DD50DA">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结合职业教育特点完善学位制度</w:t>
            </w:r>
          </w:p>
        </w:tc>
        <w:tc>
          <w:tcPr>
            <w:tcW w:w="2551" w:type="dxa"/>
            <w:noWrap w:val="0"/>
            <w:vAlign w:val="center"/>
          </w:tcPr>
          <w:p w14:paraId="53E48F98">
            <w:pPr>
              <w:keepNext w:val="0"/>
              <w:keepLines w:val="0"/>
              <w:pageBreakBefore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教育部、国务院学位</w:t>
            </w:r>
            <w:r>
              <w:rPr>
                <w:rFonts w:hint="eastAsia" w:ascii="Times New Roman" w:hAnsi="Times New Roman" w:eastAsia="仿宋_GB2312" w:cs="Times New Roman"/>
                <w:kern w:val="0"/>
                <w:sz w:val="24"/>
                <w:szCs w:val="24"/>
              </w:rPr>
              <w:t>委员会</w:t>
            </w:r>
          </w:p>
        </w:tc>
      </w:tr>
      <w:tr w14:paraId="4B532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71BCD5E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r>
              <w:rPr>
                <w:rFonts w:hint="eastAsia" w:ascii="Times New Roman" w:hAnsi="Times New Roman" w:eastAsia="仿宋_GB2312" w:cs="Times New Roman"/>
                <w:kern w:val="0"/>
                <w:sz w:val="24"/>
                <w:szCs w:val="24"/>
              </w:rPr>
              <w:t>1</w:t>
            </w:r>
          </w:p>
        </w:tc>
        <w:tc>
          <w:tcPr>
            <w:tcW w:w="5954" w:type="dxa"/>
            <w:noWrap w:val="0"/>
            <w:vAlign w:val="center"/>
          </w:tcPr>
          <w:p w14:paraId="049E6786">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实施职业学校教师和校长专业标准</w:t>
            </w:r>
            <w:r>
              <w:rPr>
                <w:rFonts w:ascii="Times New Roman" w:hAnsi="Times New Roman" w:eastAsia="仿宋_GB2312" w:cs="Times New Roman"/>
                <w:kern w:val="0"/>
                <w:sz w:val="24"/>
                <w:szCs w:val="24"/>
              </w:rPr>
              <w:t>，制定“双师型”教师基本要求</w:t>
            </w:r>
          </w:p>
        </w:tc>
        <w:tc>
          <w:tcPr>
            <w:tcW w:w="2551" w:type="dxa"/>
            <w:noWrap w:val="0"/>
            <w:vAlign w:val="center"/>
          </w:tcPr>
          <w:p w14:paraId="0C2A4898">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人力资源社会保障</w:t>
            </w:r>
            <w:r>
              <w:rPr>
                <w:rFonts w:ascii="Times New Roman" w:hAnsi="Times New Roman" w:eastAsia="仿宋_GB2312" w:cs="Times New Roman"/>
                <w:kern w:val="0"/>
                <w:sz w:val="24"/>
                <w:szCs w:val="24"/>
              </w:rPr>
              <w:t>部</w:t>
            </w:r>
          </w:p>
        </w:tc>
      </w:tr>
      <w:tr w14:paraId="3C9F0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706E883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32</w:t>
            </w:r>
          </w:p>
        </w:tc>
        <w:tc>
          <w:tcPr>
            <w:tcW w:w="5954" w:type="dxa"/>
            <w:noWrap w:val="0"/>
            <w:vAlign w:val="center"/>
          </w:tcPr>
          <w:p w14:paraId="1E9110F1">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lang w:val="zh-CN"/>
              </w:rPr>
            </w:pPr>
            <w:r>
              <w:rPr>
                <w:rFonts w:ascii="Times New Roman" w:hAnsi="Times New Roman" w:eastAsia="仿宋_GB2312" w:cs="Times New Roman"/>
                <w:kern w:val="0"/>
                <w:sz w:val="24"/>
                <w:szCs w:val="24"/>
                <w:lang w:val="zh-CN"/>
              </w:rPr>
              <w:t>修（制）订衔接贯通、全面覆盖的中等、专科、本科职业教育专业目录及专业设置管理办法</w:t>
            </w:r>
          </w:p>
        </w:tc>
        <w:tc>
          <w:tcPr>
            <w:tcW w:w="2551" w:type="dxa"/>
            <w:noWrap w:val="0"/>
            <w:vAlign w:val="center"/>
          </w:tcPr>
          <w:p w14:paraId="0D52743B">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有关行业</w:t>
            </w:r>
            <w:r>
              <w:rPr>
                <w:rFonts w:ascii="Times New Roman" w:hAnsi="Times New Roman" w:eastAsia="仿宋_GB2312" w:cs="Times New Roman"/>
                <w:kern w:val="0"/>
                <w:sz w:val="24"/>
                <w:szCs w:val="24"/>
              </w:rPr>
              <w:t>部门</w:t>
            </w:r>
          </w:p>
        </w:tc>
      </w:tr>
      <w:tr w14:paraId="778EE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5" w:hRule="atLeast"/>
          <w:jc w:val="center"/>
        </w:trPr>
        <w:tc>
          <w:tcPr>
            <w:tcW w:w="704" w:type="dxa"/>
            <w:noWrap w:val="0"/>
            <w:vAlign w:val="center"/>
          </w:tcPr>
          <w:p w14:paraId="40C123A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r>
              <w:rPr>
                <w:rFonts w:hint="eastAsia" w:ascii="Times New Roman" w:hAnsi="Times New Roman" w:eastAsia="仿宋_GB2312" w:cs="Times New Roman"/>
                <w:kern w:val="0"/>
                <w:sz w:val="24"/>
                <w:szCs w:val="24"/>
              </w:rPr>
              <w:t>3</w:t>
            </w:r>
          </w:p>
        </w:tc>
        <w:tc>
          <w:tcPr>
            <w:tcW w:w="5954" w:type="dxa"/>
            <w:noWrap w:val="0"/>
            <w:vAlign w:val="center"/>
          </w:tcPr>
          <w:p w14:paraId="01CF85CB">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lang w:val="zh-CN"/>
              </w:rPr>
            </w:pPr>
            <w:r>
              <w:rPr>
                <w:rFonts w:ascii="Times New Roman" w:hAnsi="Times New Roman" w:eastAsia="仿宋_GB2312" w:cs="Times New Roman"/>
                <w:kern w:val="0"/>
                <w:sz w:val="24"/>
                <w:szCs w:val="24"/>
                <w:lang w:val="zh-CN"/>
              </w:rPr>
              <w:t>制定职业学校办学质量考核办法</w:t>
            </w:r>
            <w:r>
              <w:rPr>
                <w:rFonts w:hint="eastAsia" w:ascii="Times New Roman" w:hAnsi="Times New Roman" w:eastAsia="仿宋_GB2312" w:cs="Times New Roman"/>
                <w:kern w:val="0"/>
                <w:sz w:val="24"/>
                <w:szCs w:val="24"/>
                <w:lang w:val="zh-CN"/>
              </w:rPr>
              <w:t>；</w:t>
            </w:r>
            <w:r>
              <w:rPr>
                <w:rFonts w:ascii="Times New Roman" w:hAnsi="Times New Roman" w:eastAsia="仿宋_GB2312" w:cs="Times New Roman"/>
                <w:kern w:val="0"/>
                <w:sz w:val="24"/>
                <w:szCs w:val="24"/>
              </w:rPr>
              <w:t>推进</w:t>
            </w:r>
            <w:r>
              <w:rPr>
                <w:rFonts w:hint="eastAsia" w:ascii="Times New Roman" w:hAnsi="Times New Roman" w:eastAsia="仿宋_GB2312" w:cs="Times New Roman"/>
                <w:kern w:val="0"/>
                <w:sz w:val="24"/>
                <w:szCs w:val="24"/>
              </w:rPr>
              <w:t>职业学校</w:t>
            </w:r>
            <w:r>
              <w:rPr>
                <w:rFonts w:ascii="Times New Roman" w:hAnsi="Times New Roman" w:eastAsia="仿宋_GB2312" w:cs="Times New Roman"/>
                <w:kern w:val="0"/>
                <w:sz w:val="24"/>
                <w:szCs w:val="24"/>
              </w:rPr>
              <w:t>教学工作诊断与改进制度</w:t>
            </w:r>
            <w:r>
              <w:rPr>
                <w:rFonts w:hint="eastAsia" w:ascii="Times New Roman" w:hAnsi="Times New Roman" w:eastAsia="仿宋_GB2312" w:cs="Times New Roman"/>
                <w:kern w:val="0"/>
                <w:sz w:val="24"/>
                <w:szCs w:val="24"/>
              </w:rPr>
              <w:t>建设；</w:t>
            </w:r>
            <w:r>
              <w:rPr>
                <w:rFonts w:ascii="Times New Roman" w:hAnsi="Times New Roman" w:eastAsia="仿宋_GB2312" w:cs="Times New Roman"/>
                <w:kern w:val="0"/>
                <w:sz w:val="24"/>
                <w:szCs w:val="24"/>
              </w:rPr>
              <w:t>巩固国家、省</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学校三级质量年报发布制度</w:t>
            </w:r>
            <w:r>
              <w:rPr>
                <w:rFonts w:hint="eastAsia" w:ascii="Times New Roman" w:hAnsi="Times New Roman" w:eastAsia="仿宋_GB2312" w:cs="Times New Roman"/>
                <w:kern w:val="0"/>
                <w:sz w:val="24"/>
                <w:szCs w:val="24"/>
              </w:rPr>
              <w:t>；完善职业教育督导评估办法，构建国家、省、校三级职业教育督导体系</w:t>
            </w:r>
          </w:p>
        </w:tc>
        <w:tc>
          <w:tcPr>
            <w:tcW w:w="2551" w:type="dxa"/>
            <w:noWrap w:val="0"/>
            <w:vAlign w:val="center"/>
          </w:tcPr>
          <w:p w14:paraId="715B8730">
            <w:pPr>
              <w:keepNext w:val="0"/>
              <w:keepLines w:val="0"/>
              <w:pageBreakBefore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教育部，各地有关部门</w:t>
            </w:r>
          </w:p>
        </w:tc>
      </w:tr>
      <w:tr w14:paraId="4D12C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311193F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sz w:val="24"/>
                <w:szCs w:val="24"/>
              </w:rPr>
              <w:t>3</w:t>
            </w:r>
            <w:r>
              <w:rPr>
                <w:rFonts w:hint="eastAsia" w:ascii="Times New Roman" w:hAnsi="Times New Roman" w:eastAsia="仿宋_GB2312" w:cs="Times New Roman"/>
                <w:sz w:val="24"/>
                <w:szCs w:val="24"/>
              </w:rPr>
              <w:t>4</w:t>
            </w:r>
          </w:p>
        </w:tc>
        <w:tc>
          <w:tcPr>
            <w:tcW w:w="5954" w:type="dxa"/>
            <w:noWrap w:val="0"/>
            <w:vAlign w:val="center"/>
          </w:tcPr>
          <w:p w14:paraId="420096CF">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集中培训</w:t>
            </w:r>
            <w:r>
              <w:rPr>
                <w:rFonts w:ascii="Times New Roman" w:hAnsi="Times New Roman" w:eastAsia="仿宋_GB2312" w:cs="Times New Roman"/>
                <w:kern w:val="0"/>
                <w:sz w:val="24"/>
                <w:szCs w:val="24"/>
              </w:rPr>
              <w:t>5000名左右中职校长（书记）和1000名左右高职校长（书记），各级各类培训覆盖全部职业学校管理干部</w:t>
            </w:r>
          </w:p>
        </w:tc>
        <w:tc>
          <w:tcPr>
            <w:tcW w:w="2551" w:type="dxa"/>
            <w:noWrap w:val="0"/>
            <w:vAlign w:val="center"/>
          </w:tcPr>
          <w:p w14:paraId="274181BF">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人力资源社会保障部，各地有关部门</w:t>
            </w:r>
          </w:p>
        </w:tc>
      </w:tr>
      <w:tr w14:paraId="1E700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jc w:val="center"/>
        </w:trPr>
        <w:tc>
          <w:tcPr>
            <w:tcW w:w="9209" w:type="dxa"/>
            <w:gridSpan w:val="3"/>
            <w:noWrap w:val="0"/>
            <w:vAlign w:val="center"/>
          </w:tcPr>
          <w:p w14:paraId="1E3E170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sz w:val="24"/>
                <w:szCs w:val="24"/>
              </w:rPr>
            </w:pPr>
            <w:r>
              <w:rPr>
                <w:rFonts w:hint="eastAsia" w:ascii="黑体" w:hAnsi="黑体" w:eastAsia="黑体" w:cs="Times New Roman"/>
                <w:sz w:val="24"/>
                <w:szCs w:val="24"/>
              </w:rPr>
              <w:t>实施职业教育“三教”改革攻坚行动</w:t>
            </w:r>
          </w:p>
        </w:tc>
      </w:tr>
      <w:tr w14:paraId="3C821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4C08327A">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r>
              <w:rPr>
                <w:rFonts w:hint="eastAsia" w:ascii="Times New Roman" w:hAnsi="Times New Roman" w:eastAsia="仿宋_GB2312" w:cs="Times New Roman"/>
                <w:kern w:val="0"/>
                <w:sz w:val="24"/>
                <w:szCs w:val="24"/>
              </w:rPr>
              <w:t>5</w:t>
            </w:r>
          </w:p>
        </w:tc>
        <w:tc>
          <w:tcPr>
            <w:tcW w:w="5954" w:type="dxa"/>
            <w:noWrap w:val="0"/>
            <w:vAlign w:val="center"/>
          </w:tcPr>
          <w:p w14:paraId="597F3A7A">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根据职业教育特点核定公办职业</w:t>
            </w:r>
            <w:r>
              <w:rPr>
                <w:rFonts w:hint="eastAsia" w:ascii="Times New Roman" w:hAnsi="Times New Roman" w:eastAsia="仿宋_GB2312" w:cs="Times New Roman"/>
                <w:kern w:val="0"/>
                <w:sz w:val="24"/>
                <w:szCs w:val="24"/>
              </w:rPr>
              <w:t>学</w:t>
            </w:r>
            <w:r>
              <w:rPr>
                <w:rFonts w:ascii="Times New Roman" w:hAnsi="Times New Roman" w:eastAsia="仿宋_GB2312" w:cs="Times New Roman"/>
                <w:kern w:val="0"/>
                <w:sz w:val="24"/>
                <w:szCs w:val="24"/>
              </w:rPr>
              <w:t>校教职工编制</w:t>
            </w:r>
          </w:p>
        </w:tc>
        <w:tc>
          <w:tcPr>
            <w:tcW w:w="2551" w:type="dxa"/>
            <w:noWrap w:val="0"/>
            <w:vAlign w:val="center"/>
          </w:tcPr>
          <w:p w14:paraId="14271EB1">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各地有关部门</w:t>
            </w:r>
          </w:p>
        </w:tc>
      </w:tr>
      <w:tr w14:paraId="6F498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3" w:hRule="atLeast"/>
          <w:jc w:val="center"/>
        </w:trPr>
        <w:tc>
          <w:tcPr>
            <w:tcW w:w="704" w:type="dxa"/>
            <w:noWrap w:val="0"/>
            <w:vAlign w:val="center"/>
          </w:tcPr>
          <w:p w14:paraId="06B3715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r>
              <w:rPr>
                <w:rFonts w:hint="eastAsia" w:ascii="Times New Roman" w:hAnsi="Times New Roman" w:eastAsia="仿宋_GB2312" w:cs="Times New Roman"/>
                <w:kern w:val="0"/>
                <w:sz w:val="24"/>
                <w:szCs w:val="24"/>
              </w:rPr>
              <w:t>6</w:t>
            </w:r>
          </w:p>
        </w:tc>
        <w:tc>
          <w:tcPr>
            <w:tcW w:w="5954" w:type="dxa"/>
            <w:noWrap w:val="0"/>
            <w:vAlign w:val="center"/>
          </w:tcPr>
          <w:p w14:paraId="2FF8FD3A">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实施新一周期“全国职业院校教师素质提高计划”；完善职业学校自主聘任兼职教师办法；改革完善职业学校绩效工资政策；专业教师中“双师型”教师占比超过</w:t>
            </w:r>
            <w:r>
              <w:rPr>
                <w:rFonts w:ascii="Times New Roman" w:hAnsi="Times New Roman" w:eastAsia="仿宋_GB2312" w:cs="Times New Roman"/>
                <w:kern w:val="0"/>
                <w:sz w:val="24"/>
                <w:szCs w:val="24"/>
              </w:rPr>
              <w:t>50%</w:t>
            </w:r>
          </w:p>
        </w:tc>
        <w:tc>
          <w:tcPr>
            <w:tcW w:w="2551" w:type="dxa"/>
            <w:noWrap w:val="0"/>
            <w:vAlign w:val="center"/>
          </w:tcPr>
          <w:p w14:paraId="08506BF3">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14:paraId="62373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5D3206E6">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r>
              <w:rPr>
                <w:rFonts w:hint="eastAsia" w:ascii="Times New Roman" w:hAnsi="Times New Roman" w:eastAsia="仿宋_GB2312" w:cs="Times New Roman"/>
                <w:kern w:val="0"/>
                <w:sz w:val="24"/>
                <w:szCs w:val="24"/>
              </w:rPr>
              <w:t>7</w:t>
            </w:r>
          </w:p>
        </w:tc>
        <w:tc>
          <w:tcPr>
            <w:tcW w:w="5954" w:type="dxa"/>
            <w:noWrap w:val="0"/>
            <w:vAlign w:val="center"/>
          </w:tcPr>
          <w:p w14:paraId="345E168B">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校企共建“双师型”教师培养培训基地和教师企业实践基地</w:t>
            </w:r>
          </w:p>
        </w:tc>
        <w:tc>
          <w:tcPr>
            <w:tcW w:w="2551" w:type="dxa"/>
            <w:noWrap w:val="0"/>
            <w:vAlign w:val="center"/>
          </w:tcPr>
          <w:p w14:paraId="6D413558">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教育部，各地有关部门</w:t>
            </w:r>
          </w:p>
        </w:tc>
      </w:tr>
      <w:tr w14:paraId="4742D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332A81BF">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r>
              <w:rPr>
                <w:rFonts w:hint="eastAsia" w:ascii="Times New Roman" w:hAnsi="Times New Roman" w:eastAsia="仿宋_GB2312" w:cs="Times New Roman"/>
                <w:kern w:val="0"/>
                <w:sz w:val="24"/>
                <w:szCs w:val="24"/>
              </w:rPr>
              <w:t>8</w:t>
            </w:r>
          </w:p>
        </w:tc>
        <w:tc>
          <w:tcPr>
            <w:tcW w:w="5954" w:type="dxa"/>
            <w:noWrap w:val="0"/>
            <w:vAlign w:val="center"/>
          </w:tcPr>
          <w:p w14:paraId="2C088186">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校企共建技工院校“一体化”教师培养培训基地和教师企业实践基地</w:t>
            </w:r>
          </w:p>
        </w:tc>
        <w:tc>
          <w:tcPr>
            <w:tcW w:w="2551" w:type="dxa"/>
            <w:noWrap w:val="0"/>
            <w:vAlign w:val="center"/>
          </w:tcPr>
          <w:p w14:paraId="0E53B591">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人力资源社会保障部，各地有关部门</w:t>
            </w:r>
          </w:p>
        </w:tc>
      </w:tr>
      <w:tr w14:paraId="6D545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1DB719B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r>
              <w:rPr>
                <w:rFonts w:hint="eastAsia" w:ascii="Times New Roman" w:hAnsi="Times New Roman" w:eastAsia="仿宋_GB2312" w:cs="Times New Roman"/>
                <w:kern w:val="0"/>
                <w:sz w:val="24"/>
                <w:szCs w:val="24"/>
              </w:rPr>
              <w:t>9</w:t>
            </w:r>
          </w:p>
        </w:tc>
        <w:tc>
          <w:tcPr>
            <w:tcW w:w="5954" w:type="dxa"/>
            <w:noWrap w:val="0"/>
            <w:vAlign w:val="center"/>
          </w:tcPr>
          <w:p w14:paraId="24EC125E">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探索有条件的优质高职学校转型为职业技术师范大学或开办职业技术师范本科专业</w:t>
            </w:r>
          </w:p>
        </w:tc>
        <w:tc>
          <w:tcPr>
            <w:tcW w:w="2551" w:type="dxa"/>
            <w:noWrap w:val="0"/>
            <w:vAlign w:val="center"/>
          </w:tcPr>
          <w:p w14:paraId="73F5915A">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 xml:space="preserve">教育部，各地有关部门 </w:t>
            </w:r>
          </w:p>
        </w:tc>
      </w:tr>
      <w:tr w14:paraId="582AE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67A3B311">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40</w:t>
            </w:r>
          </w:p>
        </w:tc>
        <w:tc>
          <w:tcPr>
            <w:tcW w:w="5954" w:type="dxa"/>
            <w:noWrap w:val="0"/>
            <w:vAlign w:val="center"/>
          </w:tcPr>
          <w:p w14:paraId="538365D0">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实施现代产业导师特聘岗位计划</w:t>
            </w:r>
          </w:p>
        </w:tc>
        <w:tc>
          <w:tcPr>
            <w:tcW w:w="2551" w:type="dxa"/>
            <w:noWrap w:val="0"/>
            <w:vAlign w:val="center"/>
          </w:tcPr>
          <w:p w14:paraId="04BF81F1">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sz w:val="24"/>
                <w:szCs w:val="24"/>
              </w:rPr>
              <w:t>教育部</w:t>
            </w:r>
            <w:r>
              <w:rPr>
                <w:rFonts w:hint="eastAsia" w:ascii="Times New Roman" w:hAnsi="Times New Roman" w:eastAsia="仿宋_GB2312" w:cs="Times New Roman"/>
                <w:kern w:val="0"/>
                <w:sz w:val="24"/>
                <w:szCs w:val="24"/>
              </w:rPr>
              <w:t>，各地有关部门</w:t>
            </w:r>
          </w:p>
        </w:tc>
      </w:tr>
      <w:tr w14:paraId="240CB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1DCE005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1</w:t>
            </w:r>
          </w:p>
        </w:tc>
        <w:tc>
          <w:tcPr>
            <w:tcW w:w="5954" w:type="dxa"/>
            <w:noWrap w:val="0"/>
            <w:vAlign w:val="center"/>
          </w:tcPr>
          <w:p w14:paraId="2A58F87B">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遴选</w:t>
            </w:r>
            <w:r>
              <w:rPr>
                <w:rFonts w:hint="eastAsia" w:ascii="Times New Roman" w:hAnsi="Times New Roman" w:eastAsia="仿宋_GB2312" w:cs="Times New Roman"/>
                <w:kern w:val="0"/>
                <w:sz w:val="24"/>
                <w:szCs w:val="24"/>
              </w:rPr>
              <w:t>一批</w:t>
            </w:r>
            <w:r>
              <w:rPr>
                <w:rFonts w:ascii="Times New Roman" w:hAnsi="Times New Roman" w:eastAsia="仿宋_GB2312" w:cs="Times New Roman"/>
                <w:kern w:val="0"/>
                <w:sz w:val="24"/>
                <w:szCs w:val="24"/>
              </w:rPr>
              <w:t>国家</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万人计划</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教学名师</w:t>
            </w:r>
          </w:p>
        </w:tc>
        <w:tc>
          <w:tcPr>
            <w:tcW w:w="2551" w:type="dxa"/>
            <w:noWrap w:val="0"/>
            <w:vAlign w:val="center"/>
          </w:tcPr>
          <w:p w14:paraId="722EE8DA">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14:paraId="43273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4A30C65F">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2</w:t>
            </w:r>
          </w:p>
        </w:tc>
        <w:tc>
          <w:tcPr>
            <w:tcW w:w="5954" w:type="dxa"/>
            <w:noWrap w:val="0"/>
            <w:vAlign w:val="center"/>
          </w:tcPr>
          <w:p w14:paraId="20A53ECB">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遴选360</w:t>
            </w:r>
            <w:r>
              <w:rPr>
                <w:rFonts w:hint="eastAsia" w:ascii="Times New Roman" w:hAnsi="Times New Roman" w:eastAsia="仿宋_GB2312" w:cs="Times New Roman"/>
                <w:kern w:val="0"/>
                <w:sz w:val="24"/>
                <w:szCs w:val="24"/>
              </w:rPr>
              <w:t>个国家级</w:t>
            </w:r>
            <w:r>
              <w:rPr>
                <w:rFonts w:ascii="Times New Roman" w:hAnsi="Times New Roman" w:eastAsia="仿宋_GB2312" w:cs="Times New Roman"/>
                <w:kern w:val="0"/>
                <w:sz w:val="24"/>
                <w:szCs w:val="24"/>
              </w:rPr>
              <w:t>教师教学创新团队</w:t>
            </w:r>
          </w:p>
        </w:tc>
        <w:tc>
          <w:tcPr>
            <w:tcW w:w="2551" w:type="dxa"/>
            <w:noWrap w:val="0"/>
            <w:vAlign w:val="center"/>
          </w:tcPr>
          <w:p w14:paraId="436CE972">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14:paraId="17408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0C6247C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3</w:t>
            </w:r>
          </w:p>
        </w:tc>
        <w:tc>
          <w:tcPr>
            <w:tcW w:w="5954" w:type="dxa"/>
            <w:noWrap w:val="0"/>
            <w:vAlign w:val="center"/>
          </w:tcPr>
          <w:p w14:paraId="75348110">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遴选</w:t>
            </w:r>
            <w:r>
              <w:rPr>
                <w:rFonts w:ascii="Times New Roman" w:hAnsi="Times New Roman" w:eastAsia="仿宋_GB2312" w:cs="Times New Roman"/>
                <w:kern w:val="0"/>
                <w:sz w:val="24"/>
                <w:szCs w:val="24"/>
              </w:rPr>
              <w:t>10000种</w:t>
            </w:r>
            <w:r>
              <w:rPr>
                <w:rFonts w:hint="eastAsia" w:ascii="Times New Roman" w:hAnsi="Times New Roman" w:eastAsia="仿宋_GB2312" w:cs="Times New Roman"/>
                <w:kern w:val="0"/>
                <w:sz w:val="24"/>
                <w:szCs w:val="24"/>
              </w:rPr>
              <w:t>左右</w:t>
            </w:r>
            <w:r>
              <w:rPr>
                <w:rFonts w:ascii="Times New Roman" w:hAnsi="Times New Roman" w:eastAsia="仿宋_GB2312" w:cs="Times New Roman"/>
                <w:kern w:val="0"/>
                <w:sz w:val="24"/>
                <w:szCs w:val="24"/>
              </w:rPr>
              <w:t>校企双元合作开发的职业教育规划教材</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国家、省两级抽查教材的比例合计不低于50%</w:t>
            </w:r>
          </w:p>
        </w:tc>
        <w:tc>
          <w:tcPr>
            <w:tcW w:w="2551" w:type="dxa"/>
            <w:noWrap w:val="0"/>
            <w:vAlign w:val="center"/>
          </w:tcPr>
          <w:p w14:paraId="57F478C1">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14:paraId="7E002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0F392E8C">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4</w:t>
            </w:r>
          </w:p>
        </w:tc>
        <w:tc>
          <w:tcPr>
            <w:tcW w:w="5954" w:type="dxa"/>
            <w:noWrap w:val="0"/>
            <w:vAlign w:val="center"/>
          </w:tcPr>
          <w:p w14:paraId="3ACDAC50">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建立职业学校人才培养方案公开制度</w:t>
            </w:r>
          </w:p>
        </w:tc>
        <w:tc>
          <w:tcPr>
            <w:tcW w:w="2551" w:type="dxa"/>
            <w:noWrap w:val="0"/>
            <w:vAlign w:val="center"/>
          </w:tcPr>
          <w:p w14:paraId="77C33217">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14:paraId="695F4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7EA5EA3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5</w:t>
            </w:r>
          </w:p>
        </w:tc>
        <w:tc>
          <w:tcPr>
            <w:tcW w:w="5954" w:type="dxa"/>
            <w:noWrap w:val="0"/>
            <w:vAlign w:val="center"/>
          </w:tcPr>
          <w:p w14:paraId="3059B6D5">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建立健全国家、省、校三级教学能力比赛机制</w:t>
            </w:r>
          </w:p>
        </w:tc>
        <w:tc>
          <w:tcPr>
            <w:tcW w:w="2551" w:type="dxa"/>
            <w:noWrap w:val="0"/>
            <w:vAlign w:val="center"/>
          </w:tcPr>
          <w:p w14:paraId="09C475AE">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14:paraId="7780F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370266E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6</w:t>
            </w:r>
          </w:p>
        </w:tc>
        <w:tc>
          <w:tcPr>
            <w:tcW w:w="5954" w:type="dxa"/>
            <w:noWrap w:val="0"/>
            <w:vAlign w:val="center"/>
          </w:tcPr>
          <w:p w14:paraId="6F6ADA37">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遴选</w:t>
            </w:r>
            <w:r>
              <w:rPr>
                <w:rFonts w:ascii="Times New Roman" w:hAnsi="Times New Roman" w:eastAsia="仿宋_GB2312" w:cs="Times New Roman"/>
                <w:kern w:val="0"/>
                <w:sz w:val="24"/>
                <w:szCs w:val="24"/>
              </w:rPr>
              <w:t>1000个左右职业教育</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课堂革命</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典型案例</w:t>
            </w:r>
          </w:p>
        </w:tc>
        <w:tc>
          <w:tcPr>
            <w:tcW w:w="2551" w:type="dxa"/>
            <w:noWrap w:val="0"/>
            <w:vAlign w:val="center"/>
          </w:tcPr>
          <w:p w14:paraId="55D7625B">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14:paraId="2F6B3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4" w:hRule="atLeast"/>
          <w:jc w:val="center"/>
        </w:trPr>
        <w:tc>
          <w:tcPr>
            <w:tcW w:w="9209" w:type="dxa"/>
            <w:gridSpan w:val="3"/>
            <w:noWrap w:val="0"/>
            <w:vAlign w:val="center"/>
          </w:tcPr>
          <w:p w14:paraId="53B90D8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黑体" w:hAnsi="黑体" w:eastAsia="黑体" w:cs="Times New Roman"/>
                <w:kern w:val="0"/>
                <w:sz w:val="24"/>
                <w:szCs w:val="24"/>
              </w:rPr>
            </w:pPr>
            <w:r>
              <w:rPr>
                <w:rFonts w:hint="eastAsia" w:ascii="黑体" w:hAnsi="黑体" w:eastAsia="黑体" w:cs="Times New Roman"/>
                <w:kern w:val="0"/>
                <w:sz w:val="24"/>
                <w:szCs w:val="24"/>
              </w:rPr>
              <w:t>实施职业教育信息化</w:t>
            </w:r>
            <w:r>
              <w:rPr>
                <w:rFonts w:ascii="黑体" w:hAnsi="黑体" w:eastAsia="黑体" w:cs="Times New Roman"/>
                <w:kern w:val="0"/>
                <w:sz w:val="24"/>
                <w:szCs w:val="24"/>
              </w:rPr>
              <w:t>2.0</w:t>
            </w:r>
            <w:r>
              <w:rPr>
                <w:rFonts w:hint="eastAsia" w:ascii="黑体" w:hAnsi="黑体" w:eastAsia="黑体" w:cs="Times New Roman"/>
                <w:kern w:val="0"/>
                <w:sz w:val="24"/>
                <w:szCs w:val="24"/>
              </w:rPr>
              <w:t>建设行动</w:t>
            </w:r>
          </w:p>
        </w:tc>
      </w:tr>
      <w:tr w14:paraId="2A8C5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19C4A6B5">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7</w:t>
            </w:r>
          </w:p>
        </w:tc>
        <w:tc>
          <w:tcPr>
            <w:tcW w:w="5954" w:type="dxa"/>
            <w:noWrap w:val="0"/>
            <w:vAlign w:val="center"/>
          </w:tcPr>
          <w:p w14:paraId="54F9EC86">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落实《职业院校数字校园规范》，研制校本数据中心建设指南，指导职业学校系统设计学校信息化整体解决方案</w:t>
            </w:r>
          </w:p>
        </w:tc>
        <w:tc>
          <w:tcPr>
            <w:tcW w:w="2551" w:type="dxa"/>
            <w:noWrap w:val="0"/>
            <w:vAlign w:val="center"/>
          </w:tcPr>
          <w:p w14:paraId="4F8E84FA">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14:paraId="42398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35667343">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8</w:t>
            </w:r>
          </w:p>
        </w:tc>
        <w:tc>
          <w:tcPr>
            <w:tcW w:w="5954" w:type="dxa"/>
            <w:noWrap w:val="0"/>
            <w:vAlign w:val="center"/>
          </w:tcPr>
          <w:p w14:paraId="245711B2">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建立健全共建共享的资源认证标准和交易机制，推进国家、省、校三级专业教学资源库建设应用</w:t>
            </w:r>
          </w:p>
        </w:tc>
        <w:tc>
          <w:tcPr>
            <w:tcW w:w="2551" w:type="dxa"/>
            <w:noWrap w:val="0"/>
            <w:vAlign w:val="center"/>
          </w:tcPr>
          <w:p w14:paraId="63398EA6">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14:paraId="682C8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2EDEB55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r>
              <w:rPr>
                <w:rFonts w:hint="eastAsia" w:ascii="Times New Roman" w:hAnsi="Times New Roman" w:eastAsia="仿宋_GB2312" w:cs="Times New Roman"/>
                <w:kern w:val="0"/>
                <w:sz w:val="24"/>
                <w:szCs w:val="24"/>
              </w:rPr>
              <w:t>9</w:t>
            </w:r>
          </w:p>
        </w:tc>
        <w:tc>
          <w:tcPr>
            <w:tcW w:w="5954" w:type="dxa"/>
            <w:noWrap w:val="0"/>
            <w:vAlign w:val="center"/>
          </w:tcPr>
          <w:p w14:paraId="31566F31">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遴选</w:t>
            </w:r>
            <w:r>
              <w:rPr>
                <w:rFonts w:ascii="Times New Roman" w:hAnsi="Times New Roman" w:eastAsia="仿宋_GB2312" w:cs="Times New Roman"/>
                <w:kern w:val="0"/>
                <w:sz w:val="24"/>
                <w:szCs w:val="24"/>
              </w:rPr>
              <w:t>300</w:t>
            </w:r>
            <w:r>
              <w:rPr>
                <w:rFonts w:hint="eastAsia" w:ascii="Times New Roman" w:hAnsi="Times New Roman" w:eastAsia="仿宋_GB2312" w:cs="Times New Roman"/>
                <w:kern w:val="0"/>
                <w:sz w:val="24"/>
                <w:szCs w:val="24"/>
              </w:rPr>
              <w:t>所左右职业教育信息化标杆学校、100个左右示范性虚拟仿真实训基地</w:t>
            </w:r>
          </w:p>
        </w:tc>
        <w:tc>
          <w:tcPr>
            <w:tcW w:w="2551" w:type="dxa"/>
            <w:noWrap w:val="0"/>
            <w:vAlign w:val="center"/>
          </w:tcPr>
          <w:p w14:paraId="420E9CDB">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14:paraId="6CF0C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4FD4486F">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50</w:t>
            </w:r>
          </w:p>
        </w:tc>
        <w:tc>
          <w:tcPr>
            <w:tcW w:w="5954" w:type="dxa"/>
            <w:noWrap w:val="0"/>
            <w:vAlign w:val="center"/>
          </w:tcPr>
          <w:p w14:paraId="368F25F2">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面向公共基础课和量大面广的专业（技能）课，分级遴选</w:t>
            </w:r>
            <w:r>
              <w:rPr>
                <w:rFonts w:ascii="Times New Roman" w:hAnsi="Times New Roman" w:eastAsia="仿宋_GB2312" w:cs="Times New Roman"/>
                <w:kern w:val="0"/>
                <w:sz w:val="24"/>
                <w:szCs w:val="24"/>
              </w:rPr>
              <w:t>5</w:t>
            </w:r>
            <w:r>
              <w:rPr>
                <w:rFonts w:hint="eastAsia" w:ascii="Times New Roman" w:hAnsi="Times New Roman" w:eastAsia="仿宋_GB2312" w:cs="Times New Roman"/>
                <w:kern w:val="0"/>
                <w:sz w:val="24"/>
                <w:szCs w:val="24"/>
              </w:rPr>
              <w:t>000门左右职业教育精品在线开放课程</w:t>
            </w:r>
          </w:p>
        </w:tc>
        <w:tc>
          <w:tcPr>
            <w:tcW w:w="2551" w:type="dxa"/>
            <w:noWrap w:val="0"/>
            <w:vAlign w:val="center"/>
          </w:tcPr>
          <w:p w14:paraId="21A50EEE">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14:paraId="0DF1A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jc w:val="center"/>
        </w:trPr>
        <w:tc>
          <w:tcPr>
            <w:tcW w:w="9209" w:type="dxa"/>
            <w:gridSpan w:val="3"/>
            <w:noWrap w:val="0"/>
            <w:vAlign w:val="center"/>
          </w:tcPr>
          <w:p w14:paraId="41F51B8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黑体" w:hAnsi="黑体" w:eastAsia="黑体" w:cs="Times New Roman"/>
                <w:kern w:val="0"/>
                <w:sz w:val="24"/>
                <w:szCs w:val="24"/>
              </w:rPr>
            </w:pPr>
            <w:r>
              <w:rPr>
                <w:rFonts w:hint="eastAsia" w:ascii="黑体" w:hAnsi="黑体" w:eastAsia="黑体" w:cs="Times New Roman"/>
                <w:kern w:val="0"/>
                <w:sz w:val="24"/>
                <w:szCs w:val="24"/>
              </w:rPr>
              <w:t>实施职业教育服务国际产能合作行动</w:t>
            </w:r>
          </w:p>
        </w:tc>
      </w:tr>
      <w:tr w14:paraId="73A83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47B9BB5F">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r>
              <w:rPr>
                <w:rFonts w:hint="eastAsia" w:ascii="Times New Roman" w:hAnsi="Times New Roman" w:eastAsia="仿宋_GB2312" w:cs="Times New Roman"/>
                <w:kern w:val="0"/>
                <w:sz w:val="24"/>
                <w:szCs w:val="24"/>
              </w:rPr>
              <w:t>1</w:t>
            </w:r>
          </w:p>
        </w:tc>
        <w:tc>
          <w:tcPr>
            <w:tcW w:w="5954" w:type="dxa"/>
            <w:noWrap w:val="0"/>
            <w:vAlign w:val="center"/>
          </w:tcPr>
          <w:p w14:paraId="11CB6B13">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支持职业学校到国（境）外办学，培育一批“鲁班工坊”</w:t>
            </w:r>
          </w:p>
        </w:tc>
        <w:tc>
          <w:tcPr>
            <w:tcW w:w="2551" w:type="dxa"/>
            <w:noWrap w:val="0"/>
            <w:vAlign w:val="center"/>
          </w:tcPr>
          <w:p w14:paraId="2CB8526F">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教育部，各地有关部门</w:t>
            </w:r>
          </w:p>
        </w:tc>
      </w:tr>
      <w:tr w14:paraId="685AB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31312B8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r>
              <w:rPr>
                <w:rFonts w:hint="eastAsia" w:ascii="Times New Roman" w:hAnsi="Times New Roman" w:eastAsia="仿宋_GB2312" w:cs="Times New Roman"/>
                <w:kern w:val="0"/>
                <w:sz w:val="24"/>
                <w:szCs w:val="24"/>
              </w:rPr>
              <w:t>2</w:t>
            </w:r>
          </w:p>
        </w:tc>
        <w:tc>
          <w:tcPr>
            <w:tcW w:w="5954" w:type="dxa"/>
            <w:noWrap w:val="0"/>
            <w:vAlign w:val="center"/>
          </w:tcPr>
          <w:p w14:paraId="20FE0CF1">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鼓励国家开放大学建设海外学习中心，推动中国与产能合作国远程教育培训合作</w:t>
            </w:r>
          </w:p>
        </w:tc>
        <w:tc>
          <w:tcPr>
            <w:tcW w:w="2551" w:type="dxa"/>
            <w:noWrap w:val="0"/>
            <w:vAlign w:val="center"/>
          </w:tcPr>
          <w:p w14:paraId="1C10B54A">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14:paraId="58E77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111DBE87">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r>
              <w:rPr>
                <w:rFonts w:hint="eastAsia" w:ascii="Times New Roman" w:hAnsi="Times New Roman" w:eastAsia="仿宋_GB2312" w:cs="Times New Roman"/>
                <w:kern w:val="0"/>
                <w:sz w:val="24"/>
                <w:szCs w:val="24"/>
              </w:rPr>
              <w:t>3</w:t>
            </w:r>
          </w:p>
        </w:tc>
        <w:tc>
          <w:tcPr>
            <w:tcW w:w="5954" w:type="dxa"/>
            <w:noWrap w:val="0"/>
            <w:vAlign w:val="center"/>
          </w:tcPr>
          <w:p w14:paraId="58C2F2AC">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 xml:space="preserve">统筹利用现有资源，实施“职业院校教师教学创新团队境外培训计划”，选派一大批专业带头人和骨干教师出国研修访学 </w:t>
            </w:r>
          </w:p>
        </w:tc>
        <w:tc>
          <w:tcPr>
            <w:tcW w:w="2551" w:type="dxa"/>
            <w:noWrap w:val="0"/>
            <w:vAlign w:val="center"/>
          </w:tcPr>
          <w:p w14:paraId="7BAE3FE0">
            <w:pPr>
              <w:keepNext w:val="0"/>
              <w:keepLines w:val="0"/>
              <w:pageBreakBefore w:val="0"/>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14:paraId="378DC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04" w:type="dxa"/>
            <w:noWrap w:val="0"/>
            <w:vAlign w:val="center"/>
          </w:tcPr>
          <w:p w14:paraId="7D5E7B7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r>
              <w:rPr>
                <w:rFonts w:hint="eastAsia" w:ascii="Times New Roman" w:hAnsi="Times New Roman" w:eastAsia="仿宋_GB2312" w:cs="Times New Roman"/>
                <w:kern w:val="0"/>
                <w:sz w:val="24"/>
                <w:szCs w:val="24"/>
              </w:rPr>
              <w:t>4</w:t>
            </w:r>
          </w:p>
        </w:tc>
        <w:tc>
          <w:tcPr>
            <w:tcW w:w="5954" w:type="dxa"/>
            <w:noWrap w:val="0"/>
            <w:vAlign w:val="center"/>
          </w:tcPr>
          <w:p w14:paraId="12E56CCA">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推进“中文＋职业技能”项目</w:t>
            </w:r>
          </w:p>
        </w:tc>
        <w:tc>
          <w:tcPr>
            <w:tcW w:w="2551" w:type="dxa"/>
            <w:noWrap w:val="0"/>
            <w:vAlign w:val="center"/>
          </w:tcPr>
          <w:p w14:paraId="13B604A7">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r w14:paraId="58A22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3" w:hRule="atLeast"/>
          <w:jc w:val="center"/>
        </w:trPr>
        <w:tc>
          <w:tcPr>
            <w:tcW w:w="9209" w:type="dxa"/>
            <w:gridSpan w:val="3"/>
            <w:noWrap w:val="0"/>
            <w:vAlign w:val="center"/>
          </w:tcPr>
          <w:p w14:paraId="7775AE14">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黑体" w:hAnsi="黑体" w:eastAsia="黑体" w:cs="Times New Roman"/>
                <w:kern w:val="0"/>
                <w:sz w:val="24"/>
                <w:szCs w:val="24"/>
              </w:rPr>
            </w:pPr>
            <w:r>
              <w:rPr>
                <w:rFonts w:hint="eastAsia" w:ascii="黑体" w:hAnsi="黑体" w:eastAsia="黑体" w:cs="Times New Roman"/>
                <w:kern w:val="0"/>
                <w:sz w:val="24"/>
                <w:szCs w:val="24"/>
              </w:rPr>
              <w:t>实施职业教育创新发展高地建设行动</w:t>
            </w:r>
          </w:p>
        </w:tc>
      </w:tr>
      <w:tr w14:paraId="55C48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jc w:val="center"/>
        </w:trPr>
        <w:tc>
          <w:tcPr>
            <w:tcW w:w="704" w:type="dxa"/>
            <w:noWrap w:val="0"/>
            <w:vAlign w:val="center"/>
          </w:tcPr>
          <w:p w14:paraId="091671F0">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r>
              <w:rPr>
                <w:rFonts w:hint="eastAsia" w:ascii="Times New Roman" w:hAnsi="Times New Roman" w:eastAsia="仿宋_GB2312" w:cs="Times New Roman"/>
                <w:kern w:val="0"/>
                <w:sz w:val="24"/>
                <w:szCs w:val="24"/>
              </w:rPr>
              <w:t>5</w:t>
            </w:r>
          </w:p>
        </w:tc>
        <w:tc>
          <w:tcPr>
            <w:tcW w:w="5954" w:type="dxa"/>
            <w:noWrap w:val="0"/>
            <w:vAlign w:val="center"/>
          </w:tcPr>
          <w:p w14:paraId="10FDA842">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在东中西布局</w:t>
            </w:r>
            <w:r>
              <w:rPr>
                <w:rFonts w:ascii="Times New Roman" w:hAnsi="Times New Roman" w:eastAsia="仿宋_GB2312" w:cs="Times New Roman"/>
                <w:kern w:val="0"/>
                <w:sz w:val="24"/>
                <w:szCs w:val="24"/>
              </w:rPr>
              <w:t>5个左右国家职业教育改革</w:t>
            </w:r>
            <w:r>
              <w:rPr>
                <w:rFonts w:hint="eastAsia" w:ascii="Times New Roman" w:hAnsi="Times New Roman" w:eastAsia="仿宋_GB2312" w:cs="Times New Roman"/>
                <w:kern w:val="0"/>
                <w:sz w:val="24"/>
                <w:szCs w:val="24"/>
              </w:rPr>
              <w:t>省域</w:t>
            </w:r>
            <w:r>
              <w:rPr>
                <w:rFonts w:ascii="Times New Roman" w:hAnsi="Times New Roman" w:eastAsia="仿宋_GB2312" w:cs="Times New Roman"/>
                <w:kern w:val="0"/>
                <w:sz w:val="24"/>
                <w:szCs w:val="24"/>
              </w:rPr>
              <w:t>试点</w:t>
            </w:r>
            <w:r>
              <w:rPr>
                <w:rFonts w:hint="eastAsia" w:ascii="Times New Roman" w:hAnsi="Times New Roman" w:eastAsia="仿宋_GB2312" w:cs="Times New Roman"/>
                <w:kern w:val="0"/>
                <w:sz w:val="24"/>
                <w:szCs w:val="24"/>
              </w:rPr>
              <w:t>，建设</w:t>
            </w:r>
            <w:r>
              <w:rPr>
                <w:rFonts w:ascii="Times New Roman" w:hAnsi="Times New Roman" w:eastAsia="仿宋_GB2312" w:cs="Times New Roman"/>
                <w:kern w:val="0"/>
                <w:sz w:val="24"/>
                <w:szCs w:val="24"/>
              </w:rPr>
              <w:t>10个左右国家职业教育改革市</w:t>
            </w:r>
            <w:r>
              <w:rPr>
                <w:rFonts w:hint="eastAsia" w:ascii="Times New Roman" w:hAnsi="Times New Roman" w:eastAsia="仿宋_GB2312" w:cs="Times New Roman"/>
                <w:kern w:val="0"/>
                <w:sz w:val="24"/>
                <w:szCs w:val="24"/>
              </w:rPr>
              <w:t>域试点</w:t>
            </w:r>
          </w:p>
        </w:tc>
        <w:tc>
          <w:tcPr>
            <w:tcW w:w="2551" w:type="dxa"/>
            <w:noWrap w:val="0"/>
            <w:vAlign w:val="center"/>
          </w:tcPr>
          <w:p w14:paraId="2CAB103C">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 xml:space="preserve">教育部，相关省级人民政府，相关地级市人民政府 </w:t>
            </w:r>
          </w:p>
        </w:tc>
      </w:tr>
      <w:tr w14:paraId="1C3AF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jc w:val="center"/>
        </w:trPr>
        <w:tc>
          <w:tcPr>
            <w:tcW w:w="9209" w:type="dxa"/>
            <w:gridSpan w:val="3"/>
            <w:noWrap w:val="0"/>
            <w:vAlign w:val="center"/>
          </w:tcPr>
          <w:p w14:paraId="6626103B">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hint="eastAsia" w:ascii="黑体" w:hAnsi="黑体" w:eastAsia="黑体" w:cs="Times New Roman"/>
                <w:kern w:val="0"/>
                <w:sz w:val="24"/>
                <w:szCs w:val="24"/>
              </w:rPr>
              <w:t>营造良好发展氛围</w:t>
            </w:r>
          </w:p>
        </w:tc>
      </w:tr>
      <w:tr w14:paraId="5E94F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jc w:val="center"/>
        </w:trPr>
        <w:tc>
          <w:tcPr>
            <w:tcW w:w="704" w:type="dxa"/>
            <w:noWrap w:val="0"/>
            <w:vAlign w:val="center"/>
          </w:tcPr>
          <w:p w14:paraId="0FE774DD">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56</w:t>
            </w:r>
          </w:p>
        </w:tc>
        <w:tc>
          <w:tcPr>
            <w:tcW w:w="5954" w:type="dxa"/>
            <w:noWrap w:val="0"/>
            <w:vAlign w:val="center"/>
          </w:tcPr>
          <w:p w14:paraId="060BCCCC">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sz w:val="24"/>
                <w:szCs w:val="24"/>
              </w:rPr>
              <w:t>推进《职业教育法》修订</w:t>
            </w:r>
            <w:r>
              <w:rPr>
                <w:rFonts w:hint="eastAsia" w:ascii="Times New Roman" w:hAnsi="Times New Roman" w:eastAsia="仿宋_GB2312" w:cs="Times New Roman"/>
                <w:sz w:val="24"/>
                <w:szCs w:val="24"/>
              </w:rPr>
              <w:t>和落实，完善配套法规制度；</w:t>
            </w:r>
            <w:r>
              <w:rPr>
                <w:rFonts w:ascii="Times New Roman" w:hAnsi="Times New Roman" w:eastAsia="仿宋_GB2312" w:cs="Times New Roman"/>
                <w:kern w:val="0"/>
                <w:sz w:val="24"/>
                <w:szCs w:val="24"/>
              </w:rPr>
              <w:t>制定和颁布</w:t>
            </w:r>
            <w:r>
              <w:rPr>
                <w:rFonts w:hint="eastAsia" w:ascii="Times New Roman" w:hAnsi="Times New Roman" w:eastAsia="仿宋_GB2312" w:cs="Times New Roman"/>
                <w:kern w:val="0"/>
                <w:sz w:val="24"/>
                <w:szCs w:val="24"/>
              </w:rPr>
              <w:t>职业教育</w:t>
            </w:r>
            <w:r>
              <w:rPr>
                <w:rFonts w:ascii="Times New Roman" w:hAnsi="Times New Roman" w:eastAsia="仿宋_GB2312" w:cs="Times New Roman"/>
                <w:kern w:val="0"/>
                <w:sz w:val="24"/>
                <w:szCs w:val="24"/>
              </w:rPr>
              <w:t>地方性法规</w:t>
            </w:r>
          </w:p>
        </w:tc>
        <w:tc>
          <w:tcPr>
            <w:tcW w:w="2551" w:type="dxa"/>
            <w:noWrap w:val="0"/>
            <w:vAlign w:val="center"/>
          </w:tcPr>
          <w:p w14:paraId="66BC65F5">
            <w:pPr>
              <w:keepNext w:val="0"/>
              <w:keepLines w:val="0"/>
              <w:pageBreakBefore w:val="0"/>
              <w:widowControl/>
              <w:kinsoku/>
              <w:wordWrap/>
              <w:overflowPunct/>
              <w:topLinePunct w:val="0"/>
              <w:autoSpaceDE/>
              <w:autoSpaceDN/>
              <w:bidi w:val="0"/>
              <w:adjustRightInd w:val="0"/>
              <w:snapToGrid w:val="0"/>
              <w:spacing w:line="240" w:lineRule="auto"/>
              <w:ind w:firstLine="0" w:firstLineChars="0"/>
              <w:textAlignment w:val="auto"/>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教育部</w:t>
            </w:r>
            <w:r>
              <w:rPr>
                <w:rFonts w:hint="eastAsia" w:ascii="Times New Roman" w:hAnsi="Times New Roman" w:eastAsia="仿宋_GB2312" w:cs="Times New Roman"/>
                <w:kern w:val="0"/>
                <w:sz w:val="24"/>
                <w:szCs w:val="24"/>
              </w:rPr>
              <w:t>，各地有关部门</w:t>
            </w:r>
          </w:p>
        </w:tc>
      </w:tr>
    </w:tbl>
    <w:p w14:paraId="04B3405E">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br w:type="page"/>
      </w:r>
    </w:p>
    <w:p w14:paraId="12C9AFC4">
      <w:pPr>
        <w:pStyle w:val="2"/>
        <w:numPr>
          <w:ilvl w:val="0"/>
          <w:numId w:val="1"/>
        </w:numPr>
        <w:bidi w:val="0"/>
        <w:ind w:left="0" w:leftChars="0" w:firstLine="640" w:firstLineChars="200"/>
        <w:rPr>
          <w:rFonts w:hint="eastAsia"/>
          <w:lang w:val="en-US" w:eastAsia="zh-CN"/>
        </w:rPr>
      </w:pPr>
      <w:bookmarkStart w:id="167" w:name="_Toc30108"/>
      <w:bookmarkStart w:id="168" w:name="_Toc2927"/>
      <w:bookmarkStart w:id="169" w:name="_Toc30853"/>
      <w:bookmarkStart w:id="170" w:name="_Toc7052"/>
      <w:r>
        <w:rPr>
          <w:rFonts w:hint="eastAsia"/>
          <w:lang w:val="en-US" w:eastAsia="zh-CN"/>
        </w:rPr>
        <w:t>教育部关于印发《本科层次职业学校设置标准（试行）》的通知</w:t>
      </w:r>
      <w:bookmarkEnd w:id="167"/>
      <w:bookmarkEnd w:id="168"/>
      <w:bookmarkEnd w:id="169"/>
      <w:bookmarkEnd w:id="170"/>
    </w:p>
    <w:p w14:paraId="5501200C">
      <w:pPr>
        <w:numPr>
          <w:numId w:val="0"/>
        </w:numPr>
        <w:ind w:leftChars="200"/>
        <w:rPr>
          <w:rFonts w:hint="default"/>
          <w:lang w:val="en-US" w:eastAsia="zh-CN"/>
        </w:rPr>
      </w:pPr>
    </w:p>
    <w:p w14:paraId="2FE3C469">
      <w:pPr>
        <w:keepNext w:val="0"/>
        <w:keepLines w:val="0"/>
        <w:pageBreakBefore w:val="0"/>
        <w:widowControl w:val="0"/>
        <w:numPr>
          <w:numId w:val="0"/>
        </w:numPr>
        <w:kinsoku/>
        <w:wordWrap/>
        <w:overflowPunct/>
        <w:topLinePunct w:val="0"/>
        <w:autoSpaceDE/>
        <w:autoSpaceDN/>
        <w:bidi w:val="0"/>
        <w:adjustRightInd w:val="0"/>
        <w:snapToGrid w:val="0"/>
        <w:spacing w:line="540" w:lineRule="exact"/>
        <w:jc w:val="center"/>
        <w:textAlignment w:val="auto"/>
        <w:rPr>
          <w:rFonts w:hint="eastAsia" w:asciiTheme="majorEastAsia" w:hAnsiTheme="majorEastAsia" w:eastAsiaTheme="majorEastAsia" w:cstheme="majorEastAsia"/>
          <w:b/>
          <w:bCs/>
          <w:sz w:val="36"/>
          <w:szCs w:val="36"/>
          <w:lang w:val="en-US" w:eastAsia="zh-CN"/>
        </w:rPr>
      </w:pPr>
      <w:r>
        <w:rPr>
          <w:rFonts w:hint="eastAsia" w:asciiTheme="majorEastAsia" w:hAnsiTheme="majorEastAsia" w:eastAsiaTheme="majorEastAsia" w:cstheme="majorEastAsia"/>
          <w:b/>
          <w:bCs/>
          <w:sz w:val="36"/>
          <w:szCs w:val="36"/>
          <w:lang w:val="en-US" w:eastAsia="zh-CN"/>
        </w:rPr>
        <w:t>教育部关于印发</w:t>
      </w:r>
    </w:p>
    <w:p w14:paraId="31439981">
      <w:pPr>
        <w:keepNext w:val="0"/>
        <w:keepLines w:val="0"/>
        <w:pageBreakBefore w:val="0"/>
        <w:widowControl w:val="0"/>
        <w:numPr>
          <w:numId w:val="0"/>
        </w:numPr>
        <w:kinsoku/>
        <w:wordWrap/>
        <w:overflowPunct/>
        <w:topLinePunct w:val="0"/>
        <w:autoSpaceDE/>
        <w:autoSpaceDN/>
        <w:bidi w:val="0"/>
        <w:adjustRightInd w:val="0"/>
        <w:snapToGrid w:val="0"/>
        <w:spacing w:line="540" w:lineRule="exact"/>
        <w:jc w:val="center"/>
        <w:textAlignment w:val="auto"/>
        <w:rPr>
          <w:rFonts w:hint="eastAsia" w:asciiTheme="majorEastAsia" w:hAnsiTheme="majorEastAsia" w:eastAsiaTheme="majorEastAsia" w:cstheme="majorEastAsia"/>
          <w:b/>
          <w:bCs/>
          <w:sz w:val="36"/>
          <w:szCs w:val="36"/>
          <w:lang w:val="en-US" w:eastAsia="zh-CN"/>
        </w:rPr>
      </w:pPr>
      <w:r>
        <w:rPr>
          <w:rFonts w:hint="eastAsia" w:asciiTheme="majorEastAsia" w:hAnsiTheme="majorEastAsia" w:eastAsiaTheme="majorEastAsia" w:cstheme="majorEastAsia"/>
          <w:b/>
          <w:bCs/>
          <w:sz w:val="36"/>
          <w:szCs w:val="36"/>
          <w:lang w:val="en-US" w:eastAsia="zh-CN"/>
        </w:rPr>
        <w:t>《本科层次职业学校设置标准（试行）》的通知</w:t>
      </w:r>
    </w:p>
    <w:p w14:paraId="08EAC00E">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right"/>
        <w:textAlignment w:val="auto"/>
        <w:rPr>
          <w:rFonts w:hint="eastAsia" w:ascii="仿宋_GB2312" w:hAnsi="仿宋_GB2312" w:eastAsia="仿宋_GB2312" w:cs="仿宋_GB2312"/>
          <w:sz w:val="30"/>
          <w:szCs w:val="30"/>
        </w:rPr>
      </w:pPr>
    </w:p>
    <w:p w14:paraId="6D77AE27">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right"/>
        <w:textAlignment w:val="auto"/>
        <w:rPr>
          <w:rFonts w:hint="eastAsia" w:ascii="楷体" w:hAnsi="楷体" w:eastAsia="楷体" w:cs="楷体"/>
          <w:sz w:val="30"/>
          <w:szCs w:val="30"/>
        </w:rPr>
      </w:pPr>
      <w:r>
        <w:rPr>
          <w:rFonts w:hint="eastAsia" w:ascii="楷体" w:hAnsi="楷体" w:eastAsia="楷体" w:cs="楷体"/>
          <w:sz w:val="30"/>
          <w:szCs w:val="30"/>
        </w:rPr>
        <w:t>教发〔2021〕1号</w:t>
      </w:r>
    </w:p>
    <w:p w14:paraId="78F6A9B1">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0" w:firstLineChars="0"/>
        <w:textAlignment w:val="auto"/>
        <w:rPr>
          <w:rFonts w:hint="eastAsia" w:ascii="楷体" w:hAnsi="楷体" w:eastAsia="楷体" w:cs="楷体"/>
          <w:sz w:val="30"/>
          <w:szCs w:val="30"/>
        </w:rPr>
      </w:pPr>
    </w:p>
    <w:p w14:paraId="64AFCC4D">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0" w:firstLineChars="0"/>
        <w:textAlignment w:val="auto"/>
        <w:rPr>
          <w:rFonts w:hint="eastAsia" w:ascii="楷体" w:hAnsi="楷体" w:eastAsia="楷体" w:cs="楷体"/>
          <w:sz w:val="30"/>
          <w:szCs w:val="30"/>
        </w:rPr>
      </w:pPr>
      <w:r>
        <w:rPr>
          <w:rFonts w:hint="eastAsia" w:ascii="楷体" w:hAnsi="楷体" w:eastAsia="楷体" w:cs="楷体"/>
          <w:sz w:val="30"/>
          <w:szCs w:val="30"/>
        </w:rPr>
        <w:t>各省、自治区、直辖市教育厅（教委），新疆生产建设兵团教育局：</w:t>
      </w:r>
    </w:p>
    <w:p w14:paraId="7EE7CBBA">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为贯彻落实《国家职业教育改革实施方案》，完善现代职业教育体系，推进职业教育治理体系和治理能力现代化，依据有关法律法规和政策文件精神，结合各地职业教育的办学实际，教育部研究制定了《本科层次职业学校设置标准（试行）》，现印发给你们，请遵照执行。</w:t>
      </w:r>
    </w:p>
    <w:p w14:paraId="5C5C74B0">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教育部</w:t>
      </w:r>
    </w:p>
    <w:p w14:paraId="641A4ADD">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righ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2021年1月27日</w:t>
      </w:r>
    </w:p>
    <w:p w14:paraId="01348018">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p>
    <w:p w14:paraId="6183F303">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为规范本科</w:t>
      </w:r>
      <w:bookmarkStart w:id="171" w:name="_Hlk145230136"/>
      <w:r>
        <w:rPr>
          <w:rFonts w:hint="eastAsia" w:ascii="仿宋_GB2312" w:hAnsi="仿宋_GB2312" w:eastAsia="仿宋_GB2312" w:cs="仿宋_GB2312"/>
          <w:sz w:val="30"/>
          <w:szCs w:val="30"/>
          <w:lang w:val="en-US" w:eastAsia="zh-CN"/>
        </w:rPr>
        <w:t>层次职业学校设置工作，完善现代职业教育体系，根据相关法律法规，制定本标准</w:t>
      </w:r>
      <w:bookmarkEnd w:id="171"/>
      <w:r>
        <w:rPr>
          <w:rFonts w:hint="eastAsia" w:ascii="仿宋_GB2312" w:hAnsi="仿宋_GB2312" w:eastAsia="仿宋_GB2312" w:cs="仿宋_GB2312"/>
          <w:sz w:val="30"/>
          <w:szCs w:val="30"/>
          <w:lang w:val="en-US" w:eastAsia="zh-CN"/>
        </w:rPr>
        <w:t>。</w:t>
      </w:r>
    </w:p>
    <w:p w14:paraId="01BA5352">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第一条办学定位</w:t>
      </w:r>
    </w:p>
    <w:p w14:paraId="415C1DCC">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坚持党的全面领导，贯彻党的教育方针，落实立德树人根本任务。贯彻落实《中华人民共和国高等教育法》《中华人民共和国职业教育法》及有关法律法规，坚持面向市场、服务发展、促进就业的办学方向，坚定职业教育定位、属性和特色，培养国家和区域经济社会发展需要的高层次技术技能人才。</w:t>
      </w:r>
    </w:p>
    <w:p w14:paraId="079A3934">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第二条治理水平</w:t>
      </w:r>
    </w:p>
    <w:p w14:paraId="0E1333DB">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学校建立以章程为核心的现代大学制度，内部组织机构健全、质量保证体系完善，行业企业深度参与办学。学校领导必须符合国家高等学校领导任职条件要求，具有较高政治素质和管理能力，熟悉职业教育原理和规律，了解学校主要专业领域相关的产业或行业。</w:t>
      </w:r>
    </w:p>
    <w:p w14:paraId="7AD8EE6B">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i w:val="0"/>
          <w:iCs w:val="0"/>
          <w:sz w:val="30"/>
          <w:szCs w:val="30"/>
          <w:lang w:val="en-US" w:eastAsia="zh-CN"/>
        </w:rPr>
      </w:pPr>
      <w:r>
        <w:rPr>
          <w:rFonts w:hint="eastAsia" w:ascii="仿宋_GB2312" w:hAnsi="仿宋_GB2312" w:eastAsia="仿宋_GB2312" w:cs="仿宋_GB2312"/>
          <w:b/>
          <w:bCs/>
          <w:i w:val="0"/>
          <w:iCs w:val="0"/>
          <w:sz w:val="30"/>
          <w:szCs w:val="30"/>
          <w:lang w:val="en-US" w:eastAsia="zh-CN"/>
        </w:rPr>
        <w:t>第三条办学规模</w:t>
      </w:r>
    </w:p>
    <w:p w14:paraId="310E86D8">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学校全日制在校生规模应在8000人以上。艺术、体育及其他特殊科类或有特殊需要的学校，经教育部批准，办学规模可以不受此限。</w:t>
      </w:r>
    </w:p>
    <w:p w14:paraId="077FFE14">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第四条专业设置</w:t>
      </w:r>
    </w:p>
    <w:p w14:paraId="61DB5D05">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对接国家和区域主导产业、支柱产业和战略性新兴产业设置专业，有3个以上专业群，原则上每个专业群含3—5个专业，建有专业随产业发展动态调整机制，专业（群）结构总体合理。</w:t>
      </w:r>
    </w:p>
    <w:p w14:paraId="22F81074">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第五条师资队伍</w:t>
      </w:r>
    </w:p>
    <w:p w14:paraId="1A90DB23">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一）应具有较强的教学、科研力量，配备专、兼职结合的教师队伍，专任教师总数应满足生师比不高于18:1的标准。来自行业企业一线的兼职教师占比不低于专任教师总数的25%，承担专业课教学任务授课课时占学校专业课总课时的20%以上。</w:t>
      </w:r>
    </w:p>
    <w:p w14:paraId="0360DB0A">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二）专任教师总数不少于450人，具有硕士及以上学位的教师数占专任教师总数的比例应不低于50%，具有高级专业技术职务的专任教师人数一般应不低于专任教师总数的30%，其中具有正高级专业技术职务的专任教师应不少于30人。专任专业课教师中，具有三年以上企业工作经历，或近五年累计不低于6个月到企业或生产服务一线实践经历的“双师型”教师比例不低于50%。</w:t>
      </w:r>
    </w:p>
    <w:p w14:paraId="23DC3B55">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（三）近五年内在职在岗教师（教师团队）获得国家级奖励或荣誉1项以上（包括中央组织部、教育部、人力资源社会保障部主导的人才工程、竞赛项目或荣誉标准）。</w:t>
      </w:r>
    </w:p>
    <w:p w14:paraId="6CA748D7">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第六条人才培养</w:t>
      </w:r>
    </w:p>
    <w:p w14:paraId="5CE27238">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一）校企合作共同制定专业人才培养方案，课程内容对接职业标准、教学过程对接生产过程，将新技术、新工艺、新规范纳入教学标准和教学内容，实践性教学课时占总课时的50%以上，顶岗实习时间不少于6个月。</w:t>
      </w:r>
    </w:p>
    <w:p w14:paraId="1E147C44">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（二）与行业企业开展深度合作，有2个及以上实质性运行的产教融合、校企合作项目（包括职业教育集团、现代学徒制、产业学院）。拟开展本科教育专业有合作稳定的规模以上企业。</w:t>
      </w:r>
    </w:p>
    <w:p w14:paraId="4E7F8F89">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（三）在近两届教学成果奖评选中获得过国家级二等奖以上或省级最高奖奖励。</w:t>
      </w:r>
    </w:p>
    <w:p w14:paraId="4081866A">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第七条科研与社会服务</w:t>
      </w:r>
    </w:p>
    <w:p w14:paraId="6616B7D5">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（一）近五年累计立项厅级及以上科研项目20项以上。</w:t>
      </w:r>
    </w:p>
    <w:p w14:paraId="43E879F4">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（二）服务企业的技术研发和产品升级，解决生产一线技术或工艺实际问题，形成技术技能特色优势，近5年横向技术服务与培训年均到账经费1000万元以上（文科专业为主的学校500万元以上）。</w:t>
      </w:r>
    </w:p>
    <w:p w14:paraId="143516D2">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（三）落实学历教育与培训并举的法定职责，近5年年均非学历培训人次数不低于全日制在校生数的2倍。</w:t>
      </w:r>
    </w:p>
    <w:p w14:paraId="7941F7CA">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第八条基础设施</w:t>
      </w:r>
    </w:p>
    <w:p w14:paraId="2BD87A6C">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（一）土地。校园占地面积应不低于800亩，生均占地面积应不低于60平方米。</w:t>
      </w:r>
    </w:p>
    <w:p w14:paraId="1A273F49">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二）建筑面积。学校设置时总建筑面积应不低于24万平方米，生均校舍建筑面积应不低于30平方米；生均教学科研行政用房面积，综合、理工、农林、医药和师范类院校应不低于20平方米，文科类院校应不低于15平方米，体育、艺术类院校应不低于30平方米。</w:t>
      </w:r>
    </w:p>
    <w:p w14:paraId="5448B515">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（三）仪器设备。生均教学科研仪器设备值，综合、理工、农林、医药和师范类院校应不低于10000元，文科类院校应不低于7000元，体育、艺术类院校应不低于8000元。</w:t>
      </w:r>
    </w:p>
    <w:p w14:paraId="72D9D6A0">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（四）图书。生均图书不低于100册，可包括电子图书。</w:t>
      </w:r>
    </w:p>
    <w:p w14:paraId="43624D8D">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五）实训和实习场所。学校必须拥有职业教育办学所必需的产教融合实践平台、教学实训场所和顶岗实习基地，能够支撑各专业的基础技能训练、技术技能实训和顶岗实习需要。综合、理工、农林类院校应当有必需的校内理实一体化教学场所、生产（经营）性实训基地和校外相对稳定的顶岗实习基地；师范类院校应当有附属的实验学校或固定的实习学校；医药类院校至少应当有一所直属附属医院和适用需要的教学医院。</w:t>
      </w:r>
    </w:p>
    <w:p w14:paraId="70131BA1">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第九条办学经费</w:t>
      </w:r>
    </w:p>
    <w:p w14:paraId="283EE003">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学校所需基本建设投资和教育事业费，须有稳定、可靠的来源和切实的保证。</w:t>
      </w:r>
    </w:p>
    <w:p w14:paraId="0901C5CB">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第十条</w:t>
      </w:r>
      <w:r>
        <w:rPr>
          <w:rFonts w:hint="eastAsia" w:ascii="仿宋_GB2312" w:hAnsi="仿宋_GB2312" w:eastAsia="仿宋_GB2312" w:cs="仿宋_GB2312"/>
          <w:sz w:val="30"/>
          <w:szCs w:val="30"/>
          <w:lang w:val="en-US" w:eastAsia="zh-CN"/>
        </w:rPr>
        <w:t>少数民族地区、西部地区、服务国家战略和特殊类别的学校，在设置时，其办学规模及其相应办学条件可以适当放宽要求。</w:t>
      </w:r>
    </w:p>
    <w:p w14:paraId="7777E124">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第十一条</w:t>
      </w:r>
      <w:r>
        <w:rPr>
          <w:rFonts w:hint="eastAsia" w:ascii="仿宋_GB2312" w:hAnsi="仿宋_GB2312" w:eastAsia="仿宋_GB2312" w:cs="仿宋_GB2312"/>
          <w:sz w:val="30"/>
          <w:szCs w:val="30"/>
          <w:lang w:val="en-US" w:eastAsia="zh-CN"/>
        </w:rPr>
        <w:t>本标准自发布之日起实施。</w:t>
      </w:r>
    </w:p>
    <w:p w14:paraId="166B536C">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br w:type="page"/>
      </w:r>
    </w:p>
    <w:p w14:paraId="509CD2DE">
      <w:pPr>
        <w:pStyle w:val="2"/>
        <w:numPr>
          <w:ilvl w:val="0"/>
          <w:numId w:val="1"/>
        </w:numPr>
        <w:bidi w:val="0"/>
        <w:ind w:left="0" w:leftChars="0" w:firstLine="640" w:firstLineChars="200"/>
        <w:rPr>
          <w:rFonts w:hint="eastAsia"/>
          <w:lang w:val="en-US" w:eastAsia="zh-CN"/>
        </w:rPr>
      </w:pPr>
      <w:bookmarkStart w:id="172" w:name="_Toc7957"/>
      <w:bookmarkStart w:id="173" w:name="_Toc30836"/>
      <w:bookmarkStart w:id="174" w:name="_Toc4835"/>
      <w:bookmarkStart w:id="175" w:name="_Toc19583"/>
      <w:r>
        <w:rPr>
          <w:rFonts w:hint="eastAsia"/>
          <w:lang w:val="en-US" w:eastAsia="zh-CN"/>
        </w:rPr>
        <w:t>教育部办公厅关于印发《本科层次职业教育专业设置管理办法（试行）》的通知</w:t>
      </w:r>
      <w:bookmarkEnd w:id="172"/>
      <w:bookmarkEnd w:id="173"/>
      <w:bookmarkEnd w:id="174"/>
      <w:bookmarkEnd w:id="175"/>
    </w:p>
    <w:p w14:paraId="46B85A46">
      <w:pPr>
        <w:numPr>
          <w:numId w:val="0"/>
        </w:numPr>
        <w:ind w:leftChars="200"/>
        <w:rPr>
          <w:rFonts w:hint="default"/>
          <w:lang w:val="en-US" w:eastAsia="zh-CN"/>
        </w:rPr>
      </w:pPr>
    </w:p>
    <w:p w14:paraId="13138F45">
      <w:pPr>
        <w:numPr>
          <w:numId w:val="0"/>
        </w:numPr>
        <w:bidi w:val="0"/>
        <w:jc w:val="center"/>
        <w:rPr>
          <w:rFonts w:hint="eastAsia" w:asciiTheme="majorEastAsia" w:hAnsiTheme="majorEastAsia" w:eastAsiaTheme="majorEastAsia" w:cstheme="majorEastAsia"/>
          <w:b/>
          <w:bCs/>
          <w:sz w:val="36"/>
          <w:szCs w:val="36"/>
          <w:lang w:val="en-US" w:eastAsia="zh-CN"/>
        </w:rPr>
      </w:pPr>
      <w:r>
        <w:rPr>
          <w:rFonts w:hint="eastAsia" w:asciiTheme="majorEastAsia" w:hAnsiTheme="majorEastAsia" w:eastAsiaTheme="majorEastAsia" w:cstheme="majorEastAsia"/>
          <w:b/>
          <w:bCs/>
          <w:sz w:val="36"/>
          <w:szCs w:val="36"/>
          <w:lang w:val="en-US" w:eastAsia="zh-CN"/>
        </w:rPr>
        <w:t>教育部办公厅关于印发</w:t>
      </w:r>
    </w:p>
    <w:p w14:paraId="5AF3ACEE">
      <w:pPr>
        <w:numPr>
          <w:numId w:val="0"/>
        </w:numPr>
        <w:bidi w:val="0"/>
        <w:jc w:val="center"/>
        <w:rPr>
          <w:rFonts w:hint="eastAsia" w:asciiTheme="majorEastAsia" w:hAnsiTheme="majorEastAsia" w:eastAsiaTheme="majorEastAsia" w:cstheme="majorEastAsia"/>
          <w:b/>
          <w:bCs/>
          <w:w w:val="90"/>
          <w:sz w:val="36"/>
          <w:szCs w:val="36"/>
          <w:lang w:val="en-US" w:eastAsia="zh-CN"/>
        </w:rPr>
      </w:pPr>
      <w:r>
        <w:rPr>
          <w:rFonts w:hint="eastAsia" w:asciiTheme="majorEastAsia" w:hAnsiTheme="majorEastAsia" w:eastAsiaTheme="majorEastAsia" w:cstheme="majorEastAsia"/>
          <w:b/>
          <w:bCs/>
          <w:w w:val="90"/>
          <w:sz w:val="36"/>
          <w:szCs w:val="36"/>
          <w:lang w:val="en-US" w:eastAsia="zh-CN"/>
        </w:rPr>
        <w:t>《本科层次职业教育专业设置管理办法（试行）》的通知</w:t>
      </w:r>
    </w:p>
    <w:p w14:paraId="2259C8F8">
      <w:pPr>
        <w:bidi w:val="0"/>
        <w:rPr>
          <w:rFonts w:hint="default"/>
          <w:lang w:val="en-US" w:eastAsia="zh-CN"/>
        </w:rPr>
      </w:pPr>
    </w:p>
    <w:p w14:paraId="0338FE4B">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right"/>
        <w:textAlignment w:val="auto"/>
        <w:rPr>
          <w:rFonts w:hint="eastAsia" w:ascii="楷体" w:hAnsi="楷体" w:eastAsia="楷体" w:cs="楷体"/>
          <w:sz w:val="30"/>
          <w:szCs w:val="30"/>
          <w:lang w:eastAsia="zh-CN"/>
        </w:rPr>
      </w:pPr>
      <w:r>
        <w:rPr>
          <w:rFonts w:hint="eastAsia" w:ascii="楷体" w:hAnsi="楷体" w:eastAsia="楷体" w:cs="楷体"/>
          <w:sz w:val="30"/>
          <w:szCs w:val="30"/>
        </w:rPr>
        <w:t>教职成厅〔2021〕1号</w:t>
      </w:r>
    </w:p>
    <w:p w14:paraId="570BED7E">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0" w:firstLineChars="0"/>
        <w:textAlignment w:val="auto"/>
        <w:rPr>
          <w:rFonts w:hint="eastAsia" w:ascii="楷体" w:hAnsi="楷体" w:eastAsia="楷体" w:cs="楷体"/>
          <w:sz w:val="30"/>
          <w:szCs w:val="30"/>
        </w:rPr>
      </w:pPr>
    </w:p>
    <w:p w14:paraId="6B589077">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0" w:firstLineChars="0"/>
        <w:textAlignment w:val="auto"/>
        <w:rPr>
          <w:rFonts w:hint="eastAsia" w:ascii="楷体" w:hAnsi="楷体" w:eastAsia="楷体" w:cs="楷体"/>
          <w:sz w:val="30"/>
          <w:szCs w:val="30"/>
        </w:rPr>
      </w:pPr>
      <w:r>
        <w:rPr>
          <w:rFonts w:hint="eastAsia" w:ascii="楷体" w:hAnsi="楷体" w:eastAsia="楷体" w:cs="楷体"/>
          <w:sz w:val="30"/>
          <w:szCs w:val="30"/>
        </w:rPr>
        <w:t>各省、自治区、直辖市教育厅（教委），新疆生产建设兵团教育局:</w:t>
      </w:r>
    </w:p>
    <w:p w14:paraId="2829E7B3">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为贯彻落实《国家职业教育改革实施方案》（国发〔2019〕4号），进一步规范和完善本科层次职业教育专业设置管理，引导高校依法依规设置专业，我部制定了《本科层次职业教育专业设置管理办法（试行）》，现印发给你们，请认真执行。</w:t>
      </w:r>
    </w:p>
    <w:p w14:paraId="534A3E5D">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right"/>
        <w:textAlignment w:val="auto"/>
        <w:rPr>
          <w:rFonts w:hint="eastAsia" w:ascii="仿宋_GB2312" w:hAnsi="仿宋_GB2312" w:eastAsia="仿宋_GB2312" w:cs="仿宋_GB2312"/>
          <w:sz w:val="30"/>
          <w:szCs w:val="30"/>
        </w:rPr>
      </w:pPr>
    </w:p>
    <w:p w14:paraId="4F643EA1">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教育部办公厅</w:t>
      </w:r>
    </w:p>
    <w:p w14:paraId="0F369C72">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righ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2021年1月22日</w:t>
      </w:r>
    </w:p>
    <w:p w14:paraId="2FCEDECB">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0" w:firstLineChars="0"/>
        <w:textAlignment w:val="auto"/>
        <w:rPr>
          <w:rFonts w:hint="eastAsia" w:ascii="仿宋_GB2312" w:hAnsi="仿宋_GB2312" w:eastAsia="仿宋_GB2312" w:cs="仿宋_GB2312"/>
          <w:sz w:val="30"/>
          <w:szCs w:val="30"/>
          <w:lang w:val="en-US" w:eastAsia="zh-CN"/>
        </w:rPr>
      </w:pPr>
    </w:p>
    <w:p w14:paraId="40AB86F2">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0" w:firstLineChars="0"/>
        <w:jc w:val="center"/>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第一章总则</w:t>
      </w:r>
    </w:p>
    <w:p w14:paraId="21DDDBA6">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第一条</w:t>
      </w:r>
      <w:r>
        <w:rPr>
          <w:rFonts w:hint="eastAsia" w:ascii="仿宋_GB2312" w:hAnsi="仿宋_GB2312" w:eastAsia="仿宋_GB2312" w:cs="仿宋_GB2312"/>
          <w:sz w:val="30"/>
          <w:szCs w:val="30"/>
          <w:lang w:val="en-US" w:eastAsia="zh-CN"/>
        </w:rPr>
        <w:t>为做好本科层次职业教育专业设置管理，根据《中华人民共和国教育法》《中华人民共和国职业教育法》《中华人民共和国学位条例》《中华人民共和国高等教育法》和《国家职业教育改革实施方案》等规定，制定本办法。</w:t>
      </w:r>
    </w:p>
    <w:p w14:paraId="55F1329F">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第二条</w:t>
      </w:r>
      <w:r>
        <w:rPr>
          <w:rFonts w:hint="eastAsia" w:ascii="仿宋_GB2312" w:hAnsi="仿宋_GB2312" w:eastAsia="仿宋_GB2312" w:cs="仿宋_GB2312"/>
          <w:sz w:val="30"/>
          <w:szCs w:val="30"/>
          <w:lang w:val="en-US" w:eastAsia="zh-CN"/>
        </w:rPr>
        <w:t>本科层次职业教育专业设置应牢固树立新发展理念，坚持需求导向、服务发展，顺应新一轮科技革命和产业变革，主动服务产业基础高级化、产业链现代化，服务建设现代化经济体系和实现更高质量更充分就业需要，遵循职业教育规律和人才成长规律，适应学生全面可持续发展的需要。</w:t>
      </w:r>
    </w:p>
    <w:p w14:paraId="1DD08893">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第三条</w:t>
      </w:r>
      <w:r>
        <w:rPr>
          <w:rFonts w:hint="eastAsia" w:ascii="仿宋_GB2312" w:hAnsi="仿宋_GB2312" w:eastAsia="仿宋_GB2312" w:cs="仿宋_GB2312"/>
          <w:sz w:val="30"/>
          <w:szCs w:val="30"/>
          <w:lang w:val="en-US" w:eastAsia="zh-CN"/>
        </w:rPr>
        <w:t>本科层次职业教育专业设置应体现职业教育类型特点，坚持高层次技术技能人才培养定位，进行系统设计，促进中等职业教育、专科层次职业教育、本科层次职业教育纵向贯通、有机衔接，促进普职融通。</w:t>
      </w:r>
    </w:p>
    <w:p w14:paraId="31CA1B11">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第四条</w:t>
      </w:r>
      <w:r>
        <w:rPr>
          <w:rFonts w:hint="eastAsia" w:ascii="仿宋_GB2312" w:hAnsi="仿宋_GB2312" w:eastAsia="仿宋_GB2312" w:cs="仿宋_GB2312"/>
          <w:sz w:val="30"/>
          <w:szCs w:val="30"/>
          <w:lang w:val="en-US" w:eastAsia="zh-CN"/>
        </w:rPr>
        <w:t>教育部负责全国本科层次职业教育专业设置的管理和指导，坚持试点先行，按照更高标准，严格规范程序，积极稳慎推进。</w:t>
      </w:r>
    </w:p>
    <w:p w14:paraId="3AE29D6E">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第五条</w:t>
      </w:r>
      <w:r>
        <w:rPr>
          <w:rFonts w:hint="eastAsia" w:ascii="仿宋_GB2312" w:hAnsi="仿宋_GB2312" w:eastAsia="仿宋_GB2312" w:cs="仿宋_GB2312"/>
          <w:sz w:val="30"/>
          <w:szCs w:val="30"/>
          <w:lang w:val="en-US" w:eastAsia="zh-CN"/>
        </w:rPr>
        <w:t>省级教育行政部门根据教育部有关规定，做好本行政区域内高校本科层次职业教育专业建设规划，优化资源配置和专业结构。</w:t>
      </w:r>
    </w:p>
    <w:p w14:paraId="22202AD5">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第六条</w:t>
      </w:r>
      <w:r>
        <w:rPr>
          <w:rFonts w:hint="eastAsia" w:ascii="仿宋_GB2312" w:hAnsi="仿宋_GB2312" w:eastAsia="仿宋_GB2312" w:cs="仿宋_GB2312"/>
          <w:sz w:val="30"/>
          <w:szCs w:val="30"/>
          <w:lang w:val="en-US" w:eastAsia="zh-CN"/>
        </w:rPr>
        <w:t>教育部制订并发布本科层次职业教育专业目录，每年动态增补，五年调整一次。高校依照相关规定，在专业目录内设置专业。</w:t>
      </w:r>
    </w:p>
    <w:p w14:paraId="6A4F92EB">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第七条</w:t>
      </w:r>
      <w:r>
        <w:rPr>
          <w:rFonts w:hint="eastAsia" w:ascii="仿宋_GB2312" w:hAnsi="仿宋_GB2312" w:eastAsia="仿宋_GB2312" w:cs="仿宋_GB2312"/>
          <w:sz w:val="30"/>
          <w:szCs w:val="30"/>
          <w:lang w:val="en-US" w:eastAsia="zh-CN"/>
        </w:rPr>
        <w:t>本科层次职业教育专业目录是设置与调整本科层次职业教育专业、实施人才培养、组织招生、授予学位、指导就业、开展教育统计和人才需求预测等工作的重要依据，是学生选择就读本科层次职业教育专业、社会用人单位选用毕业生的重要参考。</w:t>
      </w:r>
    </w:p>
    <w:p w14:paraId="1578725C">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0" w:firstLineChars="0"/>
        <w:jc w:val="center"/>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第二章专业设置条件与要求</w:t>
      </w:r>
    </w:p>
    <w:p w14:paraId="4B3DA3C1">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第八条</w:t>
      </w:r>
      <w:r>
        <w:rPr>
          <w:rFonts w:hint="eastAsia" w:ascii="仿宋_GB2312" w:hAnsi="仿宋_GB2312" w:eastAsia="仿宋_GB2312" w:cs="仿宋_GB2312"/>
          <w:sz w:val="30"/>
          <w:szCs w:val="30"/>
          <w:lang w:val="en-US" w:eastAsia="zh-CN"/>
        </w:rPr>
        <w:t>高校设置本科层次职业教育专业应紧紧围绕国家和区域经济社会产业发展重点领域，服务产业新业态、新模式，对接新职业，聚焦确需长学制培养的相关专业。原则上应符合第九条至第十四条规定的条件和要求。</w:t>
      </w:r>
    </w:p>
    <w:p w14:paraId="0BCFA4E0">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第九条</w:t>
      </w:r>
      <w:r>
        <w:rPr>
          <w:rFonts w:hint="eastAsia" w:ascii="仿宋_GB2312" w:hAnsi="仿宋_GB2312" w:eastAsia="仿宋_GB2312" w:cs="仿宋_GB2312"/>
          <w:sz w:val="30"/>
          <w:szCs w:val="30"/>
          <w:lang w:val="en-US" w:eastAsia="zh-CN"/>
        </w:rPr>
        <w:t>设置本科层次职业教育专业需有详实的专业设置可行性报告。可行性报告包括对行业企业的调研分析，对自身办学基础和专业特色的分析，对培养目标和培养规格的论证，有保障开设本专业可持续发展的规划和相关制度等。拟设置的本科层次职业教育专业需与学校办学特色相契合，所依托专业应是省级及以上重点（特色）专业。</w:t>
      </w:r>
    </w:p>
    <w:p w14:paraId="766D6D77">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第十条</w:t>
      </w:r>
      <w:r>
        <w:rPr>
          <w:rFonts w:hint="eastAsia" w:ascii="仿宋_GB2312" w:hAnsi="仿宋_GB2312" w:eastAsia="仿宋_GB2312" w:cs="仿宋_GB2312"/>
          <w:sz w:val="30"/>
          <w:szCs w:val="30"/>
          <w:lang w:val="en-US" w:eastAsia="zh-CN"/>
        </w:rPr>
        <w:t>设置本科层次职业教育专业须有完成专业人才培养所必需的教师队伍，具体应具备以下条件：</w:t>
      </w:r>
    </w:p>
    <w:p w14:paraId="0C3145D9">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一）全校师生比不低于1:18；所依托专业专任教师与该专业全日制在校生人数之比不低于1:20，高级职称专任教师比例不低于30%，具有研究生学位专任教师比例不低于50%，具有博士研究生学位专任教师比例不低于15%。</w:t>
      </w:r>
    </w:p>
    <w:p w14:paraId="16188D9D">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（二）本专业的专任教师中，“双师型”教师占比不低于50%。来自行业企业一线的兼职教师占一定比例并有实质性专业教学任务，其所承担的专业课教学任务授课课时一般不少于专业课总课时的20%。</w:t>
      </w:r>
    </w:p>
    <w:p w14:paraId="43A00F45">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（三）有省级及以上教育行政部门等认定的高水平教师教学（科研）创新团队，或省级及以上教学名师、高层次人才担任专业带头人，或专业教师获省级及以上教学领域有关奖励两项以上。</w:t>
      </w:r>
    </w:p>
    <w:p w14:paraId="2AC22A28">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第十一</w:t>
      </w:r>
      <w:r>
        <w:rPr>
          <w:rFonts w:hint="eastAsia" w:ascii="仿宋_GB2312" w:hAnsi="仿宋_GB2312" w:eastAsia="仿宋_GB2312" w:cs="仿宋_GB2312"/>
          <w:sz w:val="30"/>
          <w:szCs w:val="30"/>
          <w:lang w:val="en-US" w:eastAsia="zh-CN"/>
        </w:rPr>
        <w:t>条设置本科层次职业教育专业需有科学规范的专业人才培养方案，具体应具备以下条件：</w:t>
      </w:r>
    </w:p>
    <w:p w14:paraId="2D8BC2BD">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一）培养方案应校企共同制订，需遵循技术技能人才成长规律，突出知识与技能的高层次，使毕业生能够从事科技成果、实验成果转化，生产加工中高端产品、提供中高端服务，能够解决较复杂问题和进行较复杂操作。</w:t>
      </w:r>
    </w:p>
    <w:p w14:paraId="6017DCAA">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（二）实践教学课时占总课时的比例不低于50%，实验实训项目（任务）开出率达到100%。</w:t>
      </w:r>
    </w:p>
    <w:p w14:paraId="29E093DE">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第十二条</w:t>
      </w:r>
      <w:r>
        <w:rPr>
          <w:rFonts w:hint="eastAsia" w:ascii="仿宋_GB2312" w:hAnsi="仿宋_GB2312" w:eastAsia="仿宋_GB2312" w:cs="仿宋_GB2312"/>
          <w:sz w:val="30"/>
          <w:szCs w:val="30"/>
          <w:lang w:val="en-US" w:eastAsia="zh-CN"/>
        </w:rPr>
        <w:t>设置本科层次职业教育专业需具备开办专业所必需的合作企业、经费、校舍、仪器设备、实习实训场所等办学条件：</w:t>
      </w:r>
    </w:p>
    <w:p w14:paraId="476A7910">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（一）应与相关领域产教融合型企业等优质企业建立稳定合作关系。积极探索现代学徒制等培养模式，促进学历证书与职业技能等级证书互通衔接。</w:t>
      </w:r>
    </w:p>
    <w:p w14:paraId="4086B23F">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（二）有稳定的、可持续使用的专业建设经费并逐年增长。专业生均教学科研仪器设备值原则上不低于1万元。</w:t>
      </w:r>
    </w:p>
    <w:p w14:paraId="36831086">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（三）有稳定的、数量够用的实训基地，满足师生实习实训（培训）需求。</w:t>
      </w:r>
    </w:p>
    <w:p w14:paraId="3660FCAB">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i w:val="0"/>
          <w:iCs w:val="0"/>
          <w:sz w:val="30"/>
          <w:szCs w:val="30"/>
          <w:lang w:val="en-US" w:eastAsia="zh-CN"/>
        </w:rPr>
        <w:t>第十三条</w:t>
      </w:r>
      <w:r>
        <w:rPr>
          <w:rFonts w:hint="eastAsia" w:ascii="仿宋_GB2312" w:hAnsi="仿宋_GB2312" w:eastAsia="仿宋_GB2312" w:cs="仿宋_GB2312"/>
          <w:sz w:val="30"/>
          <w:szCs w:val="30"/>
          <w:lang w:val="en-US" w:eastAsia="zh-CN"/>
        </w:rPr>
        <w:t>设置本科层次职业教育专业需在技术研发与社会服务上有较好的工作基础，具体应具备以下条件：</w:t>
      </w:r>
    </w:p>
    <w:p w14:paraId="08AD6B0E">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（一）有省级及以上技术研发推广平台（工程研究中心、协同创新中心、重点实验室或技术技能大师工作室、实验实训基地等）。</w:t>
      </w:r>
    </w:p>
    <w:p w14:paraId="30E3942F">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（二）能够面向区域、行业企业开展科研、技术研发、社会服务等项目，并产生明显的经济和社会效益。</w:t>
      </w:r>
    </w:p>
    <w:p w14:paraId="5BBEE283">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（三）专业面向行业企业和社会开展职业培训人次每年不少于本专业在校生人数的2倍。</w:t>
      </w:r>
    </w:p>
    <w:p w14:paraId="4B1EB251">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第十四条</w:t>
      </w:r>
      <w:r>
        <w:rPr>
          <w:rFonts w:hint="eastAsia" w:ascii="仿宋_GB2312" w:hAnsi="仿宋_GB2312" w:eastAsia="仿宋_GB2312" w:cs="仿宋_GB2312"/>
          <w:sz w:val="30"/>
          <w:szCs w:val="30"/>
          <w:lang w:val="en-US" w:eastAsia="zh-CN"/>
        </w:rPr>
        <w:t>设置本科层次职业教育专业需有较高的培养质量基础和良好的社会声誉，具体应具备以下条件：</w:t>
      </w:r>
    </w:p>
    <w:p w14:paraId="251E862A">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（一）所依托专业招生计划完成率一般不低于90%，新生报到率一般不低于85%。</w:t>
      </w:r>
    </w:p>
    <w:p w14:paraId="421144E3">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kern w:val="2"/>
          <w:sz w:val="30"/>
          <w:szCs w:val="30"/>
          <w:lang w:val="en-US" w:eastAsia="zh-CN" w:bidi="ar-SA"/>
        </w:rPr>
      </w:pPr>
      <w:r>
        <w:rPr>
          <w:rFonts w:hint="eastAsia" w:ascii="仿宋_GB2312" w:hAnsi="仿宋_GB2312" w:eastAsia="仿宋_GB2312" w:cs="仿宋_GB2312"/>
          <w:sz w:val="30"/>
          <w:szCs w:val="30"/>
          <w:lang w:val="en-US" w:eastAsia="zh-CN"/>
        </w:rPr>
        <w:t>（二）所依托专业应届毕业生就业率不低于</w:t>
      </w:r>
      <w:r>
        <w:rPr>
          <w:rFonts w:hint="eastAsia" w:ascii="仿宋_GB2312" w:hAnsi="仿宋_GB2312" w:eastAsia="仿宋_GB2312" w:cs="仿宋_GB2312"/>
          <w:kern w:val="2"/>
          <w:sz w:val="30"/>
          <w:szCs w:val="30"/>
          <w:lang w:val="en-US" w:eastAsia="zh-CN" w:bidi="ar-SA"/>
        </w:rPr>
        <w:t>本省域内高校平均水平。</w:t>
      </w:r>
    </w:p>
    <w:p w14:paraId="591B6A39">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0" w:firstLineChars="0"/>
        <w:jc w:val="center"/>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第三章专业设置程序</w:t>
      </w:r>
    </w:p>
    <w:p w14:paraId="59C48813">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第十五条</w:t>
      </w:r>
      <w:r>
        <w:rPr>
          <w:rFonts w:hint="eastAsia" w:ascii="仿宋_GB2312" w:hAnsi="仿宋_GB2312" w:eastAsia="仿宋_GB2312" w:cs="仿宋_GB2312"/>
          <w:sz w:val="30"/>
          <w:szCs w:val="30"/>
          <w:lang w:val="en-US" w:eastAsia="zh-CN"/>
        </w:rPr>
        <w:t>专业设置和调整，每年集中通过专门信息平台进行管理。</w:t>
      </w:r>
    </w:p>
    <w:p w14:paraId="625577DF">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第十六条</w:t>
      </w:r>
      <w:r>
        <w:rPr>
          <w:rFonts w:hint="eastAsia" w:ascii="仿宋_GB2312" w:hAnsi="仿宋_GB2312" w:eastAsia="仿宋_GB2312" w:cs="仿宋_GB2312"/>
          <w:sz w:val="30"/>
          <w:szCs w:val="30"/>
          <w:lang w:val="en-US" w:eastAsia="zh-CN"/>
        </w:rPr>
        <w:t>高校设置本科层次职业教育专业应以专业目录为基本依据，符合专业设置基本条件，并遵循以下基本程序：</w:t>
      </w:r>
    </w:p>
    <w:p w14:paraId="74243D23">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（一）开展行业、企业、就业市场调研，做好人才需求分析和预测。</w:t>
      </w:r>
    </w:p>
    <w:p w14:paraId="22C2B67A">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二）在充分考虑区域产业发展需求的基础上，结合学校办学实际，进行专业设置必要性和可行性论证。符合条件的高等职业学校（专科）设置本科层次职业教育专业总数不超过学校专业总数的30%，本科层次职业教育专业学生总数不超过学校在校生总数的30%。</w:t>
      </w:r>
    </w:p>
    <w:p w14:paraId="4DB04581">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（三）根据国家有关规定，提交相关论证材料，包括学校和专业基本情况、拟设置专业论证报告、人才培养方案、专业办学条件、相关教学文件等。</w:t>
      </w:r>
    </w:p>
    <w:p w14:paraId="64DF7B1A">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（四）专业设置论证材料经学校官网公示后报省级教育行政部门。</w:t>
      </w:r>
    </w:p>
    <w:p w14:paraId="284F39C9">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（五）省级教育行政部门在符合条件的高校范畴内组织论证提出拟设专业，并报备教育部，教育部公布相关结果。</w:t>
      </w:r>
    </w:p>
    <w:p w14:paraId="5D61ABE4">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0" w:firstLineChars="0"/>
        <w:jc w:val="center"/>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第四章专业设置指导与监督</w:t>
      </w:r>
    </w:p>
    <w:p w14:paraId="20786BC6">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第十七条</w:t>
      </w:r>
      <w:r>
        <w:rPr>
          <w:rFonts w:hint="eastAsia" w:ascii="仿宋_GB2312" w:hAnsi="仿宋_GB2312" w:eastAsia="仿宋_GB2312" w:cs="仿宋_GB2312"/>
          <w:sz w:val="30"/>
          <w:szCs w:val="30"/>
          <w:lang w:val="en-US" w:eastAsia="zh-CN"/>
        </w:rPr>
        <w:t>教育部负责协调国家行业主管部门、行业组织定期发布行业人才需求以及专业设置指导建议等信息，负责建立健全专业设置评议专家组织，加强对本科层次职业教育专业设置的宏观管理。</w:t>
      </w:r>
    </w:p>
    <w:p w14:paraId="33C9CA11">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第十八条</w:t>
      </w:r>
      <w:r>
        <w:rPr>
          <w:rFonts w:hint="eastAsia" w:ascii="仿宋_GB2312" w:hAnsi="仿宋_GB2312" w:eastAsia="仿宋_GB2312" w:cs="仿宋_GB2312"/>
          <w:sz w:val="30"/>
          <w:szCs w:val="30"/>
          <w:lang w:val="en-US" w:eastAsia="zh-CN"/>
        </w:rPr>
        <w:t>省级教育行政部门通过统筹规划、信息服务、专家指导等措施，指导区域内高校设置专业。</w:t>
      </w:r>
    </w:p>
    <w:p w14:paraId="1777E0EA">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高校定期对专业设置情况进行自我评议，评议结果列入高校质量年度报告。</w:t>
      </w:r>
    </w:p>
    <w:p w14:paraId="52521791">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第十九条</w:t>
      </w:r>
      <w:r>
        <w:rPr>
          <w:rFonts w:hint="eastAsia" w:ascii="仿宋_GB2312" w:hAnsi="仿宋_GB2312" w:eastAsia="仿宋_GB2312" w:cs="仿宋_GB2312"/>
          <w:sz w:val="30"/>
          <w:szCs w:val="30"/>
          <w:lang w:val="en-US" w:eastAsia="zh-CN"/>
        </w:rPr>
        <w:t>教育行政部门应建立健全专业设置的预警和动态调整机制，把招生、办学、就业、生均经费投入等情况评价结果作为优化专业布局、调整专业结构的基本依据。</w:t>
      </w:r>
    </w:p>
    <w:p w14:paraId="578D74A6">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第二十条</w:t>
      </w:r>
      <w:r>
        <w:rPr>
          <w:rFonts w:hint="eastAsia" w:ascii="仿宋_GB2312" w:hAnsi="仿宋_GB2312" w:eastAsia="仿宋_GB2312" w:cs="仿宋_GB2312"/>
          <w:sz w:val="30"/>
          <w:szCs w:val="30"/>
          <w:lang w:val="en-US" w:eastAsia="zh-CN"/>
        </w:rPr>
        <w:t>教育行政部门对本科层次职业教育专业组织阶段性评价和周期性评估监测，高校所开设专业出现办学条件严重不足、教学质量低下、就业率过低等情形的，应调减该专业招生计划，直至停止招生。连续3年不招生的，原则上应及时撤销该专业点。</w:t>
      </w:r>
    </w:p>
    <w:p w14:paraId="724B78CC">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0" w:firstLineChars="0"/>
        <w:jc w:val="center"/>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第五章附则</w:t>
      </w:r>
    </w:p>
    <w:p w14:paraId="4E6A7216">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第二十一条</w:t>
      </w:r>
      <w:r>
        <w:rPr>
          <w:rFonts w:hint="eastAsia" w:ascii="仿宋_GB2312" w:hAnsi="仿宋_GB2312" w:eastAsia="仿宋_GB2312" w:cs="仿宋_GB2312"/>
          <w:sz w:val="30"/>
          <w:szCs w:val="30"/>
          <w:lang w:val="en-US" w:eastAsia="zh-CN"/>
        </w:rPr>
        <w:t>本办法自发布之日起实施，由教育部职业教育与成人教育司负责解释。</w:t>
      </w:r>
    </w:p>
    <w:p w14:paraId="50D9C8A5">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br w:type="page"/>
      </w:r>
    </w:p>
    <w:p w14:paraId="7DFF6EB8">
      <w:pPr>
        <w:pStyle w:val="2"/>
        <w:numPr>
          <w:ilvl w:val="0"/>
          <w:numId w:val="1"/>
        </w:numPr>
        <w:bidi w:val="0"/>
        <w:ind w:left="0" w:leftChars="0" w:firstLine="640" w:firstLineChars="200"/>
        <w:rPr>
          <w:rFonts w:hint="eastAsia"/>
          <w:lang w:val="en-US" w:eastAsia="zh-CN"/>
        </w:rPr>
      </w:pPr>
      <w:bookmarkStart w:id="176" w:name="_Toc21723"/>
      <w:bookmarkStart w:id="177" w:name="_Toc2070"/>
      <w:bookmarkStart w:id="178" w:name="_Toc26238"/>
      <w:bookmarkStart w:id="179" w:name="_Toc9493"/>
      <w:r>
        <w:rPr>
          <w:rFonts w:hint="eastAsia"/>
          <w:lang w:val="en-US" w:eastAsia="zh-CN"/>
        </w:rPr>
        <w:t>中共中央办公厅 国务院办公厅印发《关于推动现代职业教育高质量发展的意见》</w:t>
      </w:r>
      <w:bookmarkEnd w:id="176"/>
      <w:bookmarkEnd w:id="177"/>
      <w:bookmarkEnd w:id="178"/>
      <w:bookmarkEnd w:id="179"/>
    </w:p>
    <w:p w14:paraId="7E0DD2F9">
      <w:pPr>
        <w:numPr>
          <w:numId w:val="0"/>
        </w:numPr>
        <w:ind w:leftChars="200"/>
        <w:rPr>
          <w:rFonts w:hint="eastAsia"/>
          <w:lang w:val="en-US" w:eastAsia="zh-CN"/>
        </w:rPr>
      </w:pPr>
    </w:p>
    <w:p w14:paraId="37E41130">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leftChars="0" w:right="0" w:firstLine="0" w:firstLineChars="0"/>
        <w:jc w:val="center"/>
        <w:rPr>
          <w:rFonts w:hint="eastAsia" w:asciiTheme="majorEastAsia" w:hAnsiTheme="majorEastAsia" w:eastAsiaTheme="majorEastAsia" w:cstheme="majorEastAsia"/>
          <w:b/>
          <w:bCs/>
          <w:i w:val="0"/>
          <w:iCs w:val="0"/>
          <w:caps w:val="0"/>
          <w:color w:val="333333"/>
          <w:spacing w:val="0"/>
          <w:sz w:val="24"/>
          <w:szCs w:val="24"/>
        </w:rPr>
      </w:pPr>
      <w:r>
        <w:rPr>
          <w:rFonts w:hint="eastAsia" w:asciiTheme="majorEastAsia" w:hAnsiTheme="majorEastAsia" w:eastAsiaTheme="majorEastAsia" w:cstheme="majorEastAsia"/>
          <w:b/>
          <w:bCs/>
          <w:i w:val="0"/>
          <w:iCs w:val="0"/>
          <w:caps w:val="0"/>
          <w:color w:val="333333"/>
          <w:spacing w:val="0"/>
          <w:sz w:val="36"/>
          <w:szCs w:val="36"/>
          <w:bdr w:val="none" w:color="auto" w:sz="0" w:space="0"/>
          <w:shd w:val="clear" w:fill="FFFFFF"/>
        </w:rPr>
        <w:t>中共中央办公厅 国务院办公厅印发</w:t>
      </w:r>
    </w:p>
    <w:p w14:paraId="72C4955F">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leftChars="0" w:right="0" w:firstLine="0" w:firstLineChars="0"/>
        <w:jc w:val="center"/>
        <w:rPr>
          <w:rFonts w:hint="eastAsia" w:asciiTheme="majorEastAsia" w:hAnsiTheme="majorEastAsia" w:eastAsiaTheme="majorEastAsia" w:cstheme="majorEastAsia"/>
          <w:b/>
          <w:bCs/>
          <w:i w:val="0"/>
          <w:iCs w:val="0"/>
          <w:caps w:val="0"/>
          <w:color w:val="333333"/>
          <w:spacing w:val="0"/>
          <w:sz w:val="24"/>
          <w:szCs w:val="24"/>
        </w:rPr>
      </w:pPr>
      <w:r>
        <w:rPr>
          <w:rFonts w:hint="eastAsia" w:asciiTheme="majorEastAsia" w:hAnsiTheme="majorEastAsia" w:eastAsiaTheme="majorEastAsia" w:cstheme="majorEastAsia"/>
          <w:b/>
          <w:bCs/>
          <w:i w:val="0"/>
          <w:iCs w:val="0"/>
          <w:caps w:val="0"/>
          <w:color w:val="333333"/>
          <w:spacing w:val="0"/>
          <w:sz w:val="36"/>
          <w:szCs w:val="36"/>
          <w:bdr w:val="none" w:color="auto" w:sz="0" w:space="0"/>
          <w:shd w:val="clear" w:fill="FFFFFF"/>
        </w:rPr>
        <w:t>《关于推动现代职业教育高质量发展的意见》</w:t>
      </w:r>
    </w:p>
    <w:p w14:paraId="072D1262">
      <w:pPr>
        <w:numPr>
          <w:numId w:val="0"/>
        </w:numPr>
        <w:ind w:leftChars="200"/>
        <w:rPr>
          <w:rFonts w:hint="eastAsia"/>
          <w:lang w:val="en-US" w:eastAsia="zh-CN"/>
        </w:rPr>
      </w:pPr>
    </w:p>
    <w:p w14:paraId="436E5A3B">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职业教育是国民教育体系和人力资源开发的重要组成部分，肩负着培养多样化人才、传承技术技能、促进就业创业的重要职责。在全面建设社会主义现代化国家新征程中，职业教育前途广阔、大有可为。为贯彻落实全国职业教育大会精神，推动现代职业教育高质量发展，现提出如下意见。</w:t>
      </w:r>
    </w:p>
    <w:p w14:paraId="39206E5F">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一、总体要求</w:t>
      </w:r>
    </w:p>
    <w:p w14:paraId="7A388978">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（一）指导思想。</w:t>
      </w:r>
      <w:r>
        <w:rPr>
          <w:rFonts w:hint="eastAsia" w:ascii="仿宋_GB2312" w:hAnsi="仿宋_GB2312" w:eastAsia="仿宋_GB2312" w:cs="仿宋_GB2312"/>
          <w:sz w:val="30"/>
          <w:szCs w:val="30"/>
          <w:lang w:val="en-US" w:eastAsia="zh-CN"/>
        </w:rPr>
        <w:t>以习近平新时代中国特色社会主义思想为指导，深入贯彻党的十九大和十九届二中、三中、四中、五中全会精神，坚持党的领导，坚持正确办学方向，坚持立德树人，优化类型定位，深入推进育人方式、办学模式、管理体制、保障机制改革，切实增强职业教育适应性，加快构建现代职业教育体系，建设技能型社会，弘扬工匠精神，培养更多高素质技术技能人才、能工巧匠、大国工匠，为全面建设社会主义现代化国家提供有力人才和技能支撑。</w:t>
      </w:r>
    </w:p>
    <w:p w14:paraId="6403253B">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（二）工作要求。</w:t>
      </w:r>
      <w:r>
        <w:rPr>
          <w:rFonts w:hint="eastAsia" w:ascii="仿宋_GB2312" w:hAnsi="仿宋_GB2312" w:eastAsia="仿宋_GB2312" w:cs="仿宋_GB2312"/>
          <w:sz w:val="30"/>
          <w:szCs w:val="30"/>
          <w:lang w:val="en-US" w:eastAsia="zh-CN"/>
        </w:rPr>
        <w:t>坚持立德树人、德技并修，推动思想政治教育与技术技能培养融合统一；坚持产教融合、校企合作，推动形成产教良性互动、校企优势互补的发展格局；坚持面向市场、促进就业，推动学校布局、专业设置、人才培养与市场需求相对接；坚持面向实践、强化能力，让更多青年凭借一技之长实现人生价值；坚持面向人人、因材施教，营造人人努力成才、人人皆可成才、人人尽展其才的良好环境。</w:t>
      </w:r>
    </w:p>
    <w:p w14:paraId="556997FF">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（三）主要目标</w:t>
      </w:r>
    </w:p>
    <w:p w14:paraId="0488131C">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到2025年，职业教育类型特色更加鲜明，现代职业教育体系基本建成，技能型社会建设全面推进。办学格局更加优化，办学条件大幅改善，职业本科教育招生规模不低于高等职业教育招生规模的10%，职业教育吸引力和培养质量显著提高。</w:t>
      </w:r>
    </w:p>
    <w:p w14:paraId="0A5B0597">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到2035年，职业教育整体水平进入世界前列，技能型社会基本建成。技术技能人才社会地位大幅提升，职业教育供给与经济社会发展需求高度匹配，在全面建设社会主义现代化国家中的作用显著增强。</w:t>
      </w:r>
    </w:p>
    <w:p w14:paraId="7428A280">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二、强化职业教育类型特色</w:t>
      </w:r>
    </w:p>
    <w:p w14:paraId="0EDCA41B">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（四）巩固职业教育类型定位。</w:t>
      </w:r>
      <w:r>
        <w:rPr>
          <w:rFonts w:hint="eastAsia" w:ascii="仿宋_GB2312" w:hAnsi="仿宋_GB2312" w:eastAsia="仿宋_GB2312" w:cs="仿宋_GB2312"/>
          <w:sz w:val="30"/>
          <w:szCs w:val="30"/>
          <w:lang w:val="en-US" w:eastAsia="zh-CN"/>
        </w:rPr>
        <w:t>因地制宜、统筹推进职业教育与普通教育协调发展。加快建立“职教高考”制度，完善“文化素质+职业技能”考试招生办法，加强省级统筹，确保公平公正。加强职业教育理论研究，及时总结中国特色职业教育办学规律和制度模式。</w:t>
      </w:r>
    </w:p>
    <w:p w14:paraId="64761C8E">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（五）推进不同层次职业教育纵向贯通。</w:t>
      </w:r>
      <w:r>
        <w:rPr>
          <w:rFonts w:hint="eastAsia" w:ascii="仿宋_GB2312" w:hAnsi="仿宋_GB2312" w:eastAsia="仿宋_GB2312" w:cs="仿宋_GB2312"/>
          <w:sz w:val="30"/>
          <w:szCs w:val="30"/>
          <w:lang w:val="en-US" w:eastAsia="zh-CN"/>
        </w:rPr>
        <w:t>大力提升中等职业教育办学质量，优化布局结构，实施中等职业学校办学条件达标工程，采取合并、合作、托管、集团办学等措施，建设一批优秀中等职业学校和优质专业，注重为高等职业教育输送具有扎实技术技能基础和合格文化基础的生源。支持有条件的中等职业学校根据当地经济社会发展需要试办社区学院。推进高等职业教育提质培优，实施好“双高计划”，集中力量建设一批高水平高等职业学校和专业。稳步发展职业本科教育，高标准建设职业本科学校和专业，保持职业教育办学方向不变、培养模式不变、特色发展不变。一体化设计职业教育人才培养体系，推动各层次职业教育专业设置、培养目标、课程体系、培养方案衔接，支持在培养周期长、技能要求高的专业领域实施长学制培养。鼓励应用型本科学校开展职业本科教育。按照专业大致对口原则，指导应用型本科学校、职业本科学校吸引更多中高职毕业生报考。</w:t>
      </w:r>
    </w:p>
    <w:p w14:paraId="6B457A66">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（六）促进不同类型教育横向融通。</w:t>
      </w:r>
      <w:r>
        <w:rPr>
          <w:rFonts w:hint="eastAsia" w:ascii="仿宋_GB2312" w:hAnsi="仿宋_GB2312" w:eastAsia="仿宋_GB2312" w:cs="仿宋_GB2312"/>
          <w:sz w:val="30"/>
          <w:szCs w:val="30"/>
          <w:lang w:val="en-US" w:eastAsia="zh-CN"/>
        </w:rPr>
        <w:t>加强各学段普通教育与职业教育渗透融通，在普通中小学实施职业启蒙教育，培养掌握技能的兴趣爱好和职业生涯规划的意识能力。探索发展以专项技能培养为主的特色综合高中。推动中等职业学校与普通高中、高等职业学校与应用型大学课程互选、学分互认。鼓励职业学校开展补贴性培训和市场化社会培训。制定国家资历框架，建设职业教育国家学分银行，实现各类学习成果的认证、积累和转换，加快构建服务全民终身学习的教育体系。</w:t>
      </w:r>
    </w:p>
    <w:p w14:paraId="3DFE2997">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三、完善产教融合办学体制</w:t>
      </w:r>
    </w:p>
    <w:p w14:paraId="00AAE476">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（七）优化职业教育供给结构。</w:t>
      </w:r>
      <w:r>
        <w:rPr>
          <w:rFonts w:hint="eastAsia" w:ascii="仿宋_GB2312" w:hAnsi="仿宋_GB2312" w:eastAsia="仿宋_GB2312" w:cs="仿宋_GB2312"/>
          <w:sz w:val="30"/>
          <w:szCs w:val="30"/>
          <w:lang w:val="en-US" w:eastAsia="zh-CN"/>
        </w:rPr>
        <w:t>围绕国家重大战略，紧密对接产业升级和技术变革趋势，优先发展先进制造、新能源、新材料、现代农业、现代信息技术、生物技术、人工智能等产业需要的一批新兴专业，加快建设学前、护理、康养、家政等一批人才紧缺的专业，改造升级钢铁冶金、化工医药、建筑工程、轻纺制造等一批传统专业，撤并淘汰供给过剩、就业率低、职业岗位消失的专业，鼓励学校开设更多紧缺的、符合市场需求的专业，形成紧密对接产业链、创新链的专业体系。优化区域资源配置，推进部省共建职业教育创新发展高地，持续深化职业教育东西部协作。启动实施技能型社会职业教育体系建设地方试点。支持办好面向农村的职业教育，强化校地合作、育训结合，加快培养乡村振兴人才，鼓励更多农民、返乡农民工接受职业教育。支持行业企业开展技术技能人才培养培训，推行终身职业技能培训制度和在岗继续教育制度。</w:t>
      </w:r>
    </w:p>
    <w:p w14:paraId="3754781E">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（八）健全多元办学格局。</w:t>
      </w:r>
      <w:r>
        <w:rPr>
          <w:rFonts w:hint="eastAsia" w:ascii="仿宋_GB2312" w:hAnsi="仿宋_GB2312" w:eastAsia="仿宋_GB2312" w:cs="仿宋_GB2312"/>
          <w:sz w:val="30"/>
          <w:szCs w:val="30"/>
          <w:lang w:val="en-US" w:eastAsia="zh-CN"/>
        </w:rPr>
        <w:t>构建政府统筹管理、行业企业积极举办、社会力量深度参与的多元办学格局。健全国有资产评估、产权流转、权益分配、干部人事管理等制度。鼓励上市公司、行业龙头企业举办职业教育，鼓励各类企业依法参与举办职业教育。鼓励职业学校与社会资本合作共建职业教育基础设施、实训基地，共建共享公共实训基地。</w:t>
      </w:r>
    </w:p>
    <w:p w14:paraId="3B679400">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（九）协同推进产教深度融合。</w:t>
      </w:r>
      <w:r>
        <w:rPr>
          <w:rFonts w:hint="eastAsia" w:ascii="仿宋_GB2312" w:hAnsi="仿宋_GB2312" w:eastAsia="仿宋_GB2312" w:cs="仿宋_GB2312"/>
          <w:sz w:val="30"/>
          <w:szCs w:val="30"/>
          <w:lang w:val="en-US" w:eastAsia="zh-CN"/>
        </w:rPr>
        <w:t>各级政府要统筹职业教育和人力资源开发的规模、结构和层次，将产教融合列入经济社会发展规划。以城市为节点、行业为支点、企业为重点，建设一批产教融合试点城市，打造一批引领产教融合的标杆行业，培育一批行业领先的产教融合型企业。积极培育市场导向、供需匹配、服务精准、运作规范的产教融合服务组织。分级分类编制发布产业结构动态调整报告、行业人才就业状况和需求预测报告。</w:t>
      </w:r>
    </w:p>
    <w:p w14:paraId="34BA33B3">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四、创新校企合作办学机制</w:t>
      </w:r>
    </w:p>
    <w:p w14:paraId="3F147D02">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（十）丰富职业学校办学形态。</w:t>
      </w:r>
      <w:r>
        <w:rPr>
          <w:rFonts w:hint="eastAsia" w:ascii="仿宋_GB2312" w:hAnsi="仿宋_GB2312" w:eastAsia="仿宋_GB2312" w:cs="仿宋_GB2312"/>
          <w:sz w:val="30"/>
          <w:szCs w:val="30"/>
          <w:lang w:val="en-US" w:eastAsia="zh-CN"/>
        </w:rPr>
        <w:t>职业学校要积极与优质企业开展双边多边技术协作，共建技术技能创新平台、专业化技术转移机构和大学科技园、科技企业孵化器、众创空间，服务地方中小微企业技术升级和产品研发。推动职业学校在企业设立实习实训基地、企业在职业学校建设培养培训基地。推动校企共建共管产业学院、企业学院，延伸职业学校办学空间。</w:t>
      </w:r>
    </w:p>
    <w:p w14:paraId="7E9F1664">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（十一）拓展校企合作形式内容。</w:t>
      </w:r>
      <w:r>
        <w:rPr>
          <w:rFonts w:hint="eastAsia" w:ascii="仿宋_GB2312" w:hAnsi="仿宋_GB2312" w:eastAsia="仿宋_GB2312" w:cs="仿宋_GB2312"/>
          <w:sz w:val="30"/>
          <w:szCs w:val="30"/>
          <w:lang w:val="en-US" w:eastAsia="zh-CN"/>
        </w:rPr>
        <w:t>职业学校要主动吸纳行业龙头企业深度参与职业教育专业规划、课程设置、教材开发、教学设计、教学实施，合作共建新专业、开发新课程、开展订单培养。鼓励行业龙头企业主导建立全国性、行业性职教集团，推进实体化运作。探索中国特色学徒制，大力培养技术技能人才。支持企业接收学生实习实训，引导企业按岗位总量的一定比例设立学徒岗位。严禁向学生违规收取实习实训费用。</w:t>
      </w:r>
    </w:p>
    <w:p w14:paraId="2057A2AE">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（十二）优化校企合作政策环境。</w:t>
      </w:r>
      <w:r>
        <w:rPr>
          <w:rFonts w:hint="eastAsia" w:ascii="仿宋_GB2312" w:hAnsi="仿宋_GB2312" w:eastAsia="仿宋_GB2312" w:cs="仿宋_GB2312"/>
          <w:sz w:val="30"/>
          <w:szCs w:val="30"/>
          <w:lang w:val="en-US" w:eastAsia="zh-CN"/>
        </w:rPr>
        <w:t>各地要把促进企业参与校企合作、培养技术技能人才作为产业发展规划、产业激励政策、乡村振兴规划制定的重要内容，对产教融合型企业给予“金融+财政+土地+信用”组合式激励，按规定落实相关税费政策。工业和信息化部门要把企业参与校企合作的情况，作为各类示范企业评选的重要参考。教育、人力资源社会保障部门要把校企合作成效作为评价职业学校办学质量的重要内容。国有资产监督管理机构要支持企业参与和举办职业教育。鼓励金融机构依法依规为校企合作提供相关信贷和融资支持。积极探索职业学校实习生参加工伤保险办法。加快发展职业学校学生实习实训责任保险和人身意外伤害保险，鼓励保险公司对现代学徒制、企业新型学徒制保险专门确定费率。职业学校通过校企合作、技术服务、社会培训、自办企业等所得收入，可按一定比例作为绩效工资来源。</w:t>
      </w:r>
    </w:p>
    <w:p w14:paraId="1B270EE0">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五、深化教育教学改革</w:t>
      </w:r>
    </w:p>
    <w:p w14:paraId="2742CFDC">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（十三）强化双师型教师队伍建设。</w:t>
      </w:r>
      <w:r>
        <w:rPr>
          <w:rFonts w:hint="eastAsia" w:ascii="仿宋_GB2312" w:hAnsi="仿宋_GB2312" w:eastAsia="仿宋_GB2312" w:cs="仿宋_GB2312"/>
          <w:sz w:val="30"/>
          <w:szCs w:val="30"/>
          <w:lang w:val="en-US" w:eastAsia="zh-CN"/>
        </w:rPr>
        <w:t>加强师德师风建设，全面提升教师素养。完善职业教育教师资格认定制度，在国家教师资格考试中强化专业教学和实践要求。制定双师型教师标准，完善教师招聘、专业技术职务评聘和绩效考核标准。按照职业学校生师比例和结构要求配齐专业教师。加强职业技术师范学校建设。支持高水平学校和大中型企业共建双师型教师培养培训基地，落实教师定期到企业实践的规定，支持企业技术骨干到学校从教，推进固定岗与流动岗相结合、校企互聘兼职的教师队伍建设改革。继续实施职业院校教师素质提高计划。</w:t>
      </w:r>
    </w:p>
    <w:p w14:paraId="1D92B988">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（十四）创新教学模式与方法。</w:t>
      </w:r>
      <w:r>
        <w:rPr>
          <w:rFonts w:hint="eastAsia" w:ascii="仿宋_GB2312" w:hAnsi="仿宋_GB2312" w:eastAsia="仿宋_GB2312" w:cs="仿宋_GB2312"/>
          <w:sz w:val="30"/>
          <w:szCs w:val="30"/>
          <w:lang w:val="en-US" w:eastAsia="zh-CN"/>
        </w:rPr>
        <w:t>提高思想政治理论课质量和实效，推进习近平新时代中国特色社会主义思想进教材、进课堂、进头脑。举办职业学校思想政治教育课程教师教学能力比赛。普遍开展项目教学、情境教学、模块化教学，推动现代信息技术与教育教学深度融合，提高课堂教学质量。全面实施弹性学习和学分制管理，支持学生积极参加社会实践、创新创业、竞赛活动。办好全国职业院校技能大赛。</w:t>
      </w:r>
    </w:p>
    <w:p w14:paraId="5ABF368A">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（十五）改进教学内容与教材。</w:t>
      </w:r>
      <w:r>
        <w:rPr>
          <w:rFonts w:hint="eastAsia" w:ascii="仿宋_GB2312" w:hAnsi="仿宋_GB2312" w:eastAsia="仿宋_GB2312" w:cs="仿宋_GB2312"/>
          <w:sz w:val="30"/>
          <w:szCs w:val="30"/>
          <w:lang w:val="en-US" w:eastAsia="zh-CN"/>
        </w:rPr>
        <w:t>完善“岗课赛证”综合育人机制，按照生产实际和岗位需求设计开发课程，开发模块化、系统化的实训课程体系，提升学生实践能力。深入实施职业技能等级证书制度，完善认证管理办法，加强事中事后监管。及时更新教学标准，将新技术、新工艺、新规范、典型生产案例及时纳入教学内容。把职业技能等级证书所体现的先进标准融入人才培养方案。强化教材建设国家事权，分层规划，完善职业教育教材的编写、审核、选用、使用、更新、评价监管机制。引导地方、行业和学校按规定建设地方特色教材、行业适用教材、校本专业教材。</w:t>
      </w:r>
    </w:p>
    <w:p w14:paraId="3F8D1DF3">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（十六）完善质量保证体系。</w:t>
      </w:r>
      <w:r>
        <w:rPr>
          <w:rFonts w:hint="eastAsia" w:ascii="仿宋_GB2312" w:hAnsi="仿宋_GB2312" w:eastAsia="仿宋_GB2312" w:cs="仿宋_GB2312"/>
          <w:sz w:val="30"/>
          <w:szCs w:val="30"/>
          <w:lang w:val="en-US" w:eastAsia="zh-CN"/>
        </w:rPr>
        <w:t>建立健全教师、课程、教材、教学、实习实训、信息化、安全等国家职业教育标准，鼓励地方结合实际出台更高要求的地方标准，支持行业组织、龙头企业参与制定标准。推进职业学校教学工作诊断与改进制度建设。完善职业教育督导评估办法，加强对地方政府履行职业教育职责督导，做好中等职业学校办学能力评估和高等职业学校适应社会需求能力评估。健全国家、省、学校质量年报制度，定期组织质量年报的审查抽查，提高编制水平，加大公开力度。强化评价结果运用，将其作为批复学校设置、核定招生计划、安排重大项目的重要参考。</w:t>
      </w:r>
    </w:p>
    <w:p w14:paraId="55568143">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六、打造中国特色职业教育品牌</w:t>
      </w:r>
    </w:p>
    <w:p w14:paraId="4E062B35">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（十七）提升中外合作办学水平。</w:t>
      </w:r>
      <w:r>
        <w:rPr>
          <w:rFonts w:hint="eastAsia" w:ascii="仿宋_GB2312" w:hAnsi="仿宋_GB2312" w:eastAsia="仿宋_GB2312" w:cs="仿宋_GB2312"/>
          <w:sz w:val="30"/>
          <w:szCs w:val="30"/>
          <w:lang w:val="en-US" w:eastAsia="zh-CN"/>
        </w:rPr>
        <w:t>办好一批示范性中外合作办学机构和项目。加强与国际高水平职业教育机构和组织合作，开展学术研究、标准研制、人员交流。在“留学中国”项目、中国政府奖学金项目中设置职业教育类别。</w:t>
      </w:r>
    </w:p>
    <w:p w14:paraId="62E8D204">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（十八）拓展中外合作交流平台。</w:t>
      </w:r>
      <w:r>
        <w:rPr>
          <w:rFonts w:hint="eastAsia" w:ascii="仿宋_GB2312" w:hAnsi="仿宋_GB2312" w:eastAsia="仿宋_GB2312" w:cs="仿宋_GB2312"/>
          <w:sz w:val="30"/>
          <w:szCs w:val="30"/>
          <w:lang w:val="en-US" w:eastAsia="zh-CN"/>
        </w:rPr>
        <w:t>全方位践行世界技能组织2025战略，加强与联合国教科文组织等国际和地区组织的合作。鼓励开放大学建设海外学习中心，推进职业教育涉外行业组织建设，实施职业学校教师教学创新团队、高技能领军人才和产业紧缺人才境外培训计划。积极承办国际职业教育大会，办好办实中国－东盟教育交流周，形成一批教育交流、技能交流和人文交流的品牌。</w:t>
      </w:r>
    </w:p>
    <w:p w14:paraId="5A6B103F">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（十九）推动职业教育走出去。</w:t>
      </w:r>
      <w:r>
        <w:rPr>
          <w:rFonts w:hint="eastAsia" w:ascii="仿宋_GB2312" w:hAnsi="仿宋_GB2312" w:eastAsia="仿宋_GB2312" w:cs="仿宋_GB2312"/>
          <w:sz w:val="30"/>
          <w:szCs w:val="30"/>
          <w:lang w:val="en-US" w:eastAsia="zh-CN"/>
        </w:rPr>
        <w:t>探索“中文+职业技能”的国际化发展模式。服务国际产能合作，推动职业学校跟随中国企业走出去。完善“鲁班工坊”建设标准，拓展办学内涵。提高职业教育在出国留学基金等项目中的占比。积极打造一批高水平国际化的职业学校，推出一批具有国际影响力的专业标准、课程标准、教学资源。各地要把职业教育纳入对外合作规划，作为友好城市（省州）建设的重要内容。</w:t>
      </w:r>
    </w:p>
    <w:p w14:paraId="336B9C4D">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七、组织实施</w:t>
      </w:r>
    </w:p>
    <w:p w14:paraId="295F8736">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（二十）加强组织领导。</w:t>
      </w:r>
      <w:r>
        <w:rPr>
          <w:rFonts w:hint="eastAsia" w:ascii="仿宋_GB2312" w:hAnsi="仿宋_GB2312" w:eastAsia="仿宋_GB2312" w:cs="仿宋_GB2312"/>
          <w:sz w:val="30"/>
          <w:szCs w:val="30"/>
          <w:lang w:val="en-US" w:eastAsia="zh-CN"/>
        </w:rPr>
        <w:t>各级党委和政府要把推动现代职业教育高质量发展摆在更加突出的位置，更好支持和帮助职业教育发展。职业教育工作部门联席会议要充分发挥作用，教育行政部门要认真落实对职业教育工作统筹规划、综合协调、宏观管理职责。国家将职业教育工作纳入省级政府履行教育职责督导评价，各省将职业教育工作纳入地方经济社会发展考核。选优配强职业学校主要负责人，建设高素质专业化职业教育干部队伍。落实职业学校在内设机构、岗位设置、用人计划、教师招聘、职称评聘等方面的自主权。加强职业学校党建工作，落实意识形态工作责任制，开展新时代职业学校党组织示范创建和质量创优工作，把党的领导落实到办学治校、立德树人全过程。</w:t>
      </w:r>
    </w:p>
    <w:p w14:paraId="0C532D01">
      <w:pPr>
        <w:keepNext w:val="0"/>
        <w:keepLines w:val="0"/>
        <w:pageBreakBefore w:val="0"/>
        <w:widowControl w:val="0"/>
        <w:kinsoku/>
        <w:wordWrap/>
        <w:overflowPunct/>
        <w:topLinePunct w:val="0"/>
        <w:autoSpaceDE/>
        <w:autoSpaceDN/>
        <w:bidi w:val="0"/>
        <w:adjustRightInd w:val="0"/>
        <w:snapToGrid w:val="0"/>
        <w:spacing w:line="540" w:lineRule="exact"/>
        <w:ind w:firstLine="602"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（二十一）强化制度保障。</w:t>
      </w:r>
      <w:r>
        <w:rPr>
          <w:rFonts w:hint="eastAsia" w:ascii="仿宋_GB2312" w:hAnsi="仿宋_GB2312" w:eastAsia="仿宋_GB2312" w:cs="仿宋_GB2312"/>
          <w:sz w:val="30"/>
          <w:szCs w:val="30"/>
          <w:lang w:val="en-US" w:eastAsia="zh-CN"/>
        </w:rPr>
        <w:t>加快修订职业教育法，地方结合实际制定修订有关地方性法规。健全政府投入为主、多渠道筹集职业教育经费的体制。优化支出结构，新增教育经费向职业教育倾斜。严禁以学费、社会服务收入冲抵生均拨款，探索建立基于专业大类的职业教育差异化生均拨款制度。</w:t>
      </w:r>
    </w:p>
    <w:p w14:paraId="37623E74">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602" w:firstLineChars="200"/>
        <w:jc w:val="both"/>
        <w:textAlignment w:val="auto"/>
        <w:rPr>
          <w:rFonts w:hint="eastAsia" w:ascii="仿宋_GB2312" w:hAnsi="仿宋_GB2312" w:eastAsia="仿宋_GB2312" w:cs="仿宋_GB2312"/>
          <w:w w:val="90"/>
          <w:sz w:val="30"/>
          <w:szCs w:val="30"/>
          <w:lang w:val="en-US" w:eastAsia="zh-CN"/>
        </w:rPr>
      </w:pPr>
      <w:r>
        <w:rPr>
          <w:rFonts w:hint="eastAsia" w:ascii="仿宋_GB2312" w:hAnsi="仿宋_GB2312" w:eastAsia="仿宋_GB2312" w:cs="仿宋_GB2312"/>
          <w:b/>
          <w:bCs/>
          <w:sz w:val="30"/>
          <w:szCs w:val="30"/>
          <w:lang w:val="en-US" w:eastAsia="zh-CN"/>
        </w:rPr>
        <w:t>（二十二）优化发展环境。</w:t>
      </w:r>
      <w:r>
        <w:rPr>
          <w:rFonts w:hint="eastAsia" w:ascii="仿宋_GB2312" w:hAnsi="仿宋_GB2312" w:eastAsia="仿宋_GB2312" w:cs="仿宋_GB2312"/>
          <w:sz w:val="30"/>
          <w:szCs w:val="30"/>
          <w:lang w:val="en-US" w:eastAsia="zh-CN"/>
        </w:rPr>
        <w:t>加强正面宣传，挖掘宣传基层和一线技术技能人才成长成才的典型事迹，弘扬劳动光荣、技能宝贵、创造伟大的时代风尚。打通职业学校毕业生在就业、落户、参加招聘、职称评审、晋升等方面的通道，与普通学校毕业生享受同等待遇。对在职业教育工作中取得成绩的单位和个人、在职业教育领域作出突出贡献的技术技能人才，按照国家有关规定予以表彰奖励。各地将符合条件的高水平技术技能人才纳入高层次人才计划，探索从优秀产业工人和农业农村人才中培养选拔干部机制，</w:t>
      </w:r>
      <w:r>
        <w:rPr>
          <w:rFonts w:hint="eastAsia" w:ascii="仿宋_GB2312" w:hAnsi="仿宋_GB2312" w:eastAsia="仿宋_GB2312" w:cs="仿宋_GB2312"/>
          <w:w w:val="90"/>
          <w:sz w:val="30"/>
          <w:szCs w:val="30"/>
          <w:lang w:val="en-US" w:eastAsia="zh-CN"/>
        </w:rPr>
        <w:t>加大技术技能人才薪酬激励力度，</w:t>
      </w:r>
      <w:r>
        <w:rPr>
          <w:rFonts w:hint="eastAsia" w:ascii="仿宋_GB2312" w:hAnsi="仿宋_GB2312" w:eastAsia="仿宋_GB2312" w:cs="仿宋_GB2312"/>
          <w:w w:val="90"/>
          <w:sz w:val="30"/>
          <w:szCs w:val="30"/>
          <w:lang w:val="en-US" w:eastAsia="zh-CN"/>
        </w:rPr>
        <w:t>提高技术技能人才社会地位。</w:t>
      </w:r>
    </w:p>
    <w:p w14:paraId="77B569A2">
      <w:pPr>
        <w:rPr>
          <w:rFonts w:hint="eastAsia" w:ascii="仿宋_GB2312" w:hAnsi="仿宋_GB2312" w:eastAsia="仿宋_GB2312" w:cs="仿宋_GB2312"/>
          <w:w w:val="90"/>
          <w:sz w:val="30"/>
          <w:szCs w:val="30"/>
          <w:lang w:val="en-US" w:eastAsia="zh-CN"/>
        </w:rPr>
      </w:pPr>
      <w:r>
        <w:rPr>
          <w:rFonts w:hint="eastAsia" w:ascii="仿宋_GB2312" w:hAnsi="仿宋_GB2312" w:eastAsia="仿宋_GB2312" w:cs="仿宋_GB2312"/>
          <w:w w:val="90"/>
          <w:sz w:val="30"/>
          <w:szCs w:val="30"/>
          <w:lang w:val="en-US" w:eastAsia="zh-CN"/>
        </w:rPr>
        <w:br w:type="page"/>
      </w:r>
    </w:p>
    <w:p w14:paraId="441EB3B7">
      <w:pPr>
        <w:pStyle w:val="2"/>
        <w:numPr>
          <w:ilvl w:val="0"/>
          <w:numId w:val="1"/>
        </w:numPr>
        <w:bidi w:val="0"/>
        <w:ind w:left="0" w:leftChars="0" w:firstLine="640" w:firstLineChars="200"/>
        <w:rPr>
          <w:rFonts w:hint="eastAsia"/>
          <w:lang w:val="en-US" w:eastAsia="zh-CN"/>
        </w:rPr>
      </w:pPr>
      <w:bookmarkStart w:id="180" w:name="_Toc20138"/>
      <w:bookmarkStart w:id="181" w:name="_Toc30698"/>
      <w:bookmarkStart w:id="182" w:name="_Toc480"/>
      <w:bookmarkStart w:id="183" w:name="_Toc24438"/>
      <w:r>
        <w:rPr>
          <w:rFonts w:hint="eastAsia"/>
          <w:lang w:val="en-US" w:eastAsia="zh-CN"/>
        </w:rPr>
        <w:t>关于做好本科层次职业学校学士学位授权与授予工作的意见</w:t>
      </w:r>
      <w:bookmarkEnd w:id="180"/>
      <w:bookmarkEnd w:id="181"/>
      <w:bookmarkEnd w:id="182"/>
      <w:bookmarkEnd w:id="183"/>
    </w:p>
    <w:p w14:paraId="59576F77">
      <w:pPr>
        <w:bidi w:val="0"/>
        <w:jc w:val="right"/>
        <w:rPr>
          <w:rFonts w:hint="eastAsia" w:asciiTheme="majorEastAsia" w:hAnsiTheme="majorEastAsia" w:eastAsiaTheme="majorEastAsia" w:cstheme="majorEastAsia"/>
          <w:b/>
          <w:bCs/>
          <w:sz w:val="36"/>
          <w:szCs w:val="36"/>
          <w:lang w:val="en-US" w:eastAsia="zh-CN"/>
        </w:rPr>
      </w:pPr>
    </w:p>
    <w:p w14:paraId="456B00BB">
      <w:pPr>
        <w:bidi w:val="0"/>
        <w:ind w:left="0" w:leftChars="0" w:firstLine="0" w:firstLineChars="0"/>
        <w:jc w:val="center"/>
        <w:rPr>
          <w:rFonts w:hint="eastAsia" w:asciiTheme="majorEastAsia" w:hAnsiTheme="majorEastAsia" w:eastAsiaTheme="majorEastAsia" w:cstheme="majorEastAsia"/>
          <w:b/>
          <w:bCs/>
          <w:sz w:val="36"/>
          <w:szCs w:val="36"/>
          <w:lang w:val="en-US" w:eastAsia="zh-CN"/>
        </w:rPr>
      </w:pPr>
      <w:r>
        <w:rPr>
          <w:rFonts w:hint="eastAsia" w:asciiTheme="majorEastAsia" w:hAnsiTheme="majorEastAsia" w:eastAsiaTheme="majorEastAsia" w:cstheme="majorEastAsia"/>
          <w:b/>
          <w:bCs/>
          <w:sz w:val="36"/>
          <w:szCs w:val="36"/>
          <w:lang w:val="en-US" w:eastAsia="zh-CN"/>
        </w:rPr>
        <w:t>关于做好本科层次职业学校学士学位授权与授予工作的意见</w:t>
      </w:r>
    </w:p>
    <w:p w14:paraId="0E5FCAE8">
      <w:pPr>
        <w:bidi w:val="0"/>
        <w:jc w:val="right"/>
        <w:rPr>
          <w:rFonts w:hint="eastAsia"/>
          <w:lang w:val="en-US" w:eastAsia="zh-CN"/>
        </w:rPr>
      </w:pPr>
    </w:p>
    <w:p w14:paraId="5B97A947">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jc w:val="right"/>
        <w:textAlignment w:val="auto"/>
        <w:rPr>
          <w:rFonts w:hint="eastAsia" w:ascii="楷体" w:hAnsi="楷体" w:eastAsia="楷体" w:cs="楷体"/>
          <w:sz w:val="30"/>
          <w:szCs w:val="30"/>
          <w:lang w:val="en-US" w:eastAsia="zh-CN"/>
        </w:rPr>
      </w:pPr>
      <w:r>
        <w:rPr>
          <w:rFonts w:hint="eastAsia" w:ascii="楷体" w:hAnsi="楷体" w:eastAsia="楷体" w:cs="楷体"/>
          <w:sz w:val="30"/>
          <w:szCs w:val="30"/>
          <w:lang w:val="en-US" w:eastAsia="zh-CN"/>
        </w:rPr>
        <w:t>学位办〔2021〕30号</w:t>
      </w:r>
    </w:p>
    <w:p w14:paraId="27A7A144">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0" w:firstLineChars="0"/>
        <w:textAlignment w:val="auto"/>
        <w:rPr>
          <w:rFonts w:hint="eastAsia" w:ascii="楷体" w:hAnsi="楷体" w:eastAsia="楷体" w:cs="楷体"/>
          <w:sz w:val="30"/>
          <w:szCs w:val="30"/>
          <w:lang w:val="en-US" w:eastAsia="zh-CN"/>
        </w:rPr>
      </w:pPr>
    </w:p>
    <w:p w14:paraId="2AE3AEEE">
      <w:pPr>
        <w:keepNext w:val="0"/>
        <w:keepLines w:val="0"/>
        <w:pageBreakBefore w:val="0"/>
        <w:widowControl w:val="0"/>
        <w:kinsoku/>
        <w:wordWrap/>
        <w:overflowPunct/>
        <w:topLinePunct w:val="0"/>
        <w:autoSpaceDE/>
        <w:autoSpaceDN/>
        <w:bidi w:val="0"/>
        <w:adjustRightInd w:val="0"/>
        <w:snapToGrid w:val="0"/>
        <w:spacing w:line="540" w:lineRule="exact"/>
        <w:ind w:left="0" w:leftChars="0" w:firstLine="0" w:firstLineChars="0"/>
        <w:textAlignment w:val="auto"/>
        <w:rPr>
          <w:rFonts w:hint="eastAsia" w:ascii="楷体" w:hAnsi="楷体" w:eastAsia="楷体" w:cs="楷体"/>
          <w:sz w:val="30"/>
          <w:szCs w:val="30"/>
          <w:lang w:val="en-US" w:eastAsia="zh-CN"/>
        </w:rPr>
      </w:pPr>
      <w:r>
        <w:rPr>
          <w:rFonts w:hint="eastAsia" w:ascii="楷体" w:hAnsi="楷体" w:eastAsia="楷体" w:cs="楷体"/>
          <w:sz w:val="30"/>
          <w:szCs w:val="30"/>
          <w:lang w:val="en-US" w:eastAsia="zh-CN"/>
        </w:rPr>
        <w:t>各省、自治区、直辖市学位委员会，新疆生产建设兵团学位委员会，军队学位委员会：</w:t>
      </w:r>
    </w:p>
    <w:p w14:paraId="29908FA9">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经国务院学位委员会审议通过，为贯彻全国职业教育大会精神和《国家职业教育改革实施方案》要求，指导省级学位委员会、本科层次职业学校做好本科层次职业教育学士学位授权与授予工作，突出职业教育特色，确保本科层次职业教育授予学士学位质量，促进本科层次职业教育高质量稳步发展，提出如下意见：</w:t>
      </w:r>
    </w:p>
    <w:p w14:paraId="3C1525E3">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一、本科层次职业教育学士学位授权、授予、管理和质量监督按照《中华人民共和国学位条例》《中华人民共和国学位条例暂行实施办法》《学士学位授权与授予管理办法》执行。</w:t>
      </w:r>
    </w:p>
    <w:p w14:paraId="5D2202A2">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二、申报本科层次职业教育学士学位授权的学校须为教育部批准的本科层次职业学校。具有本科层次职业教育学士学位授予权的学校可开展本科层次职业教育学士学位授予工作。</w:t>
      </w:r>
    </w:p>
    <w:p w14:paraId="30C87799">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三、省级学位委员会负责本区域（系统）的本科层次职业教育学士学位授权审批工作，应及时修订学士学位授权审核办法，突出本科层次职业教育育人特色，明确本科层次职业教育学士学位授权相关要求。</w:t>
      </w:r>
    </w:p>
    <w:p w14:paraId="2F45AF66">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四、省级学位委员会应制定本科层次职业教育学士学位授权单位、授权专业申请基本条件，条件应遵循职业教育办学规律，涵盖办学定位、师资队伍、人才培养、办学条件、管理制度等内容。申请基本条件不得低于教育部颁布的本科层次职业学校设置标准和本科层次职业教育专业设置标准。</w:t>
      </w:r>
    </w:p>
    <w:p w14:paraId="7E0471D0">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五、本科层次职业教育学士学位按学科门类授予。教育部在颁布本科层次职业教育专业目录时，应明确专业归属的学科门类。本科层次职业教育专业目录的专业名称、代码、归属的学科门类发生变动时，省级学位委员会应对授权进行相应调整。</w:t>
      </w:r>
    </w:p>
    <w:p w14:paraId="1760EBC1">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六、本科层次职业教育学士学位授予单位应制定本单位的学位授予程序。主要程序是：审查是否符合学士学位授予标准，符合标准的列入学士学位授予名单，学校学位评定委员会作出是否批准的决议。学校学位评定委员会表决通过的决议和学士学位授予名单应在校内公开，并报省级学位委员会备查。</w:t>
      </w:r>
    </w:p>
    <w:p w14:paraId="60011329">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七、本科层次职业教育学士学位授予单位应制定本单位的学士学位授予标准。学位授予标准应落实立德树人根本任务，坚持正确育人导向，强化思想政治要求，突出职业能力和职业素养水平，符合《中华人民共和国学位条例》及其暂行实施办法的规定。</w:t>
      </w:r>
    </w:p>
    <w:p w14:paraId="234D5BF0">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八、本科层次职业教育暂不开展第二学士学位、辅修学士学位、双学士学位复合型人才培养项目、联合学士学位、高等学历继续教育学士学位的授予工作。</w:t>
      </w:r>
    </w:p>
    <w:p w14:paraId="1420F7F1">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九、本科层次职业教育学士学位证书和学位授予信息按照《学位证书和学位授予信息管理办法》《学位授予信息管理工作规程》执行。</w:t>
      </w:r>
    </w:p>
    <w:p w14:paraId="126003DC">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十、本科层次职业教育学士学位授予单位应建立学士学位管理和质量保障的相关规章制度，依法依规开展学士学位授予工作，确保本科层次职业教育学士学位授予质量。省级学位委员会应加强对本区域（系统）本科层次职业教育学士学位授予单位的统筹指导和质量监督，不断提升其开展学士学位授予工作的能力和水平。</w:t>
      </w:r>
    </w:p>
    <w:p w14:paraId="57C94695">
      <w:pPr>
        <w:keepNext w:val="0"/>
        <w:keepLines w:val="0"/>
        <w:pageBreakBefore w:val="0"/>
        <w:widowControl w:val="0"/>
        <w:kinsoku/>
        <w:wordWrap/>
        <w:overflowPunct/>
        <w:topLinePunct w:val="0"/>
        <w:autoSpaceDE/>
        <w:autoSpaceDN/>
        <w:bidi w:val="0"/>
        <w:adjustRightInd w:val="0"/>
        <w:snapToGrid w:val="0"/>
        <w:spacing w:line="540" w:lineRule="exact"/>
        <w:ind w:firstLine="600" w:firstLineChars="200"/>
        <w:textAlignment w:val="auto"/>
        <w:rPr>
          <w:rFonts w:hint="eastAsia" w:ascii="仿宋_GB2312" w:hAnsi="仿宋_GB2312" w:eastAsia="仿宋_GB2312" w:cs="仿宋_GB2312"/>
          <w:sz w:val="30"/>
          <w:szCs w:val="30"/>
          <w:lang w:val="en-US" w:eastAsia="zh-CN"/>
        </w:rPr>
      </w:pPr>
    </w:p>
    <w:p w14:paraId="7644F781">
      <w:pPr>
        <w:keepNext w:val="0"/>
        <w:keepLines w:val="0"/>
        <w:pageBreakBefore w:val="0"/>
        <w:widowControl w:val="0"/>
        <w:kinsoku/>
        <w:wordWrap/>
        <w:overflowPunct/>
        <w:topLinePunct w:val="0"/>
        <w:autoSpaceDE/>
        <w:autoSpaceDN/>
        <w:bidi w:val="0"/>
        <w:adjustRightInd w:val="0"/>
        <w:snapToGrid w:val="0"/>
        <w:spacing w:line="540" w:lineRule="exact"/>
        <w:ind w:left="5394" w:leftChars="1712" w:hanging="600" w:hanging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国务院学位委员会办公室2021年11月18日</w:t>
      </w:r>
    </w:p>
    <w:p w14:paraId="63105AC4">
      <w:pP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br w:type="page"/>
      </w:r>
    </w:p>
    <w:p w14:paraId="5D6A40D0">
      <w:pPr>
        <w:pStyle w:val="2"/>
        <w:numPr>
          <w:ilvl w:val="0"/>
          <w:numId w:val="1"/>
        </w:numPr>
        <w:bidi w:val="0"/>
        <w:ind w:left="0" w:leftChars="0" w:firstLine="600" w:firstLineChars="200"/>
        <w:rPr>
          <w:rStyle w:val="16"/>
          <w:rFonts w:hint="eastAsia"/>
          <w:bCs/>
          <w:lang w:val="en-US" w:eastAsia="zh-CN"/>
        </w:rPr>
      </w:pPr>
      <w:bookmarkStart w:id="184" w:name="_Toc15886"/>
      <w:bookmarkStart w:id="185" w:name="_Toc19423"/>
      <w:bookmarkStart w:id="186" w:name="_Toc1762"/>
      <w:bookmarkStart w:id="187" w:name="_Toc4247"/>
      <w:r>
        <w:rPr>
          <w:rStyle w:val="16"/>
          <w:rFonts w:hint="eastAsia"/>
          <w:bCs/>
          <w:lang w:val="en-US" w:eastAsia="zh-CN"/>
        </w:rPr>
        <w:t>中华人民共和国职业教育法</w:t>
      </w:r>
      <w:bookmarkEnd w:id="184"/>
      <w:bookmarkEnd w:id="185"/>
      <w:bookmarkEnd w:id="186"/>
      <w:bookmarkEnd w:id="187"/>
    </w:p>
    <w:p w14:paraId="0D78D68C">
      <w:pPr>
        <w:numPr>
          <w:numId w:val="0"/>
        </w:numPr>
        <w:ind w:leftChars="200"/>
        <w:rPr>
          <w:rFonts w:hint="eastAsia"/>
          <w:lang w:val="en-US" w:eastAsia="zh-CN"/>
        </w:rPr>
      </w:pPr>
    </w:p>
    <w:p w14:paraId="0638A2EB">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楷体" w:hAnsi="楷体" w:eastAsia="楷体" w:cs="楷体"/>
          <w:sz w:val="30"/>
          <w:szCs w:val="30"/>
          <w:lang w:val="en-US" w:eastAsia="zh-CN"/>
        </w:rPr>
      </w:pPr>
      <w:r>
        <w:rPr>
          <w:rFonts w:hint="eastAsia" w:ascii="楷体" w:hAnsi="楷体" w:eastAsia="楷体" w:cs="楷体"/>
          <w:sz w:val="30"/>
          <w:szCs w:val="30"/>
          <w:lang w:val="en-US" w:eastAsia="zh-CN"/>
        </w:rPr>
        <w:t>（1996年5月15日第八届全国人民代表大会常务委员会第十九次会议通过2022年4月20日第十三届全国人民代表大会常务委员会第三十四次会议修订）</w:t>
      </w:r>
    </w:p>
    <w:p w14:paraId="0566143B">
      <w:pPr>
        <w:bidi w:val="0"/>
        <w:rPr>
          <w:rFonts w:hint="eastAsia"/>
          <w:lang w:val="en-US" w:eastAsia="zh-CN"/>
        </w:rPr>
      </w:pPr>
    </w:p>
    <w:p w14:paraId="4A21D5A8">
      <w:pPr>
        <w:bidi w:val="0"/>
        <w:ind w:left="0" w:leftChars="0" w:firstLine="0" w:firstLineChars="0"/>
        <w:jc w:val="center"/>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第一章 总  则</w:t>
      </w:r>
    </w:p>
    <w:p w14:paraId="35282C3B">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第一条</w:t>
      </w:r>
      <w:r>
        <w:rPr>
          <w:rFonts w:hint="eastAsia" w:ascii="仿宋_GB2312" w:hAnsi="仿宋_GB2312" w:eastAsia="仿宋_GB2312" w:cs="仿宋_GB2312"/>
          <w:sz w:val="30"/>
          <w:szCs w:val="30"/>
          <w:lang w:val="en-US" w:eastAsia="zh-CN"/>
        </w:rPr>
        <w:t xml:space="preserve"> 为了推动职业教育高质量发展，提高劳动者素质和技术技能水平，促进就业创业，建设教育强国、人力资源强国和技能型社会，推进社会主义现代化建设，根据宪法，制定本法。</w:t>
      </w:r>
    </w:p>
    <w:p w14:paraId="302FEAE5">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 xml:space="preserve">第二条 </w:t>
      </w:r>
      <w:r>
        <w:rPr>
          <w:rFonts w:hint="eastAsia" w:ascii="仿宋_GB2312" w:hAnsi="仿宋_GB2312" w:eastAsia="仿宋_GB2312" w:cs="仿宋_GB2312"/>
          <w:sz w:val="30"/>
          <w:szCs w:val="30"/>
          <w:lang w:val="en-US" w:eastAsia="zh-CN"/>
        </w:rPr>
        <w:t>本法所称职业教育，是指为了培养高素质技术技能人才，使受教育者具备从事某种职业或者实现职业发展所需要的职业道德、科学文化与专业知识、技术技能等职业综合素质和行动能力而实施的教育，包括职业学校教育和职业培训。</w:t>
      </w:r>
    </w:p>
    <w:p w14:paraId="61419FCE">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机关、事业单位对其工作人员实施的专门培训由法律、行政法规另行规定。</w:t>
      </w:r>
    </w:p>
    <w:p w14:paraId="57BD9BE7">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第三条</w:t>
      </w:r>
      <w:r>
        <w:rPr>
          <w:rFonts w:hint="eastAsia" w:ascii="仿宋_GB2312" w:hAnsi="仿宋_GB2312" w:eastAsia="仿宋_GB2312" w:cs="仿宋_GB2312"/>
          <w:sz w:val="30"/>
          <w:szCs w:val="30"/>
          <w:lang w:val="en-US" w:eastAsia="zh-CN"/>
        </w:rPr>
        <w:t xml:space="preserve"> 职业教育是与普通教育具有同等重要地位的教育类型，是国民教育体系和人力资源开发的重要组成部分，是培养多样化人才、传承技术技能、促进就业创业的重要途径。</w:t>
      </w:r>
    </w:p>
    <w:p w14:paraId="163F6EBB">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国家大力发展职业教育，推进职业教育改革，提高职业教育质量，增强职业教育适应性，建立健全适应社会主义市场经济和社会发展需要、符合技术技能人才成长规律的职业教育制度体系，为全面建设社会主义现代化国家提供有力人才和技能支撑。</w:t>
      </w:r>
    </w:p>
    <w:p w14:paraId="2E180776">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第四条</w:t>
      </w:r>
      <w:r>
        <w:rPr>
          <w:rFonts w:hint="eastAsia" w:ascii="仿宋_GB2312" w:hAnsi="仿宋_GB2312" w:eastAsia="仿宋_GB2312" w:cs="仿宋_GB2312"/>
          <w:sz w:val="30"/>
          <w:szCs w:val="30"/>
          <w:lang w:val="en-US" w:eastAsia="zh-CN"/>
        </w:rPr>
        <w:t xml:space="preserve"> 职业教育必须坚持中国共产党的领导，坚持社会主义办学方向，贯彻国家的教育方针，坚持立德树人、德技并修，坚持产教融合、校企合作，坚持面向市场、促进就业，坚持面向实践、强化能力，坚持面向人人、因材施教。</w:t>
      </w:r>
    </w:p>
    <w:p w14:paraId="68B418D4">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实施职业教育应当弘扬社会主义核心价值观，对受教育者进行思想政治教育和职业道德教育，培育劳模精神、劳动精神、工匠精神，传授科学文化与专业知识，培养技术技能，进行职业指导，全面提高受教育者的素质。</w:t>
      </w:r>
    </w:p>
    <w:p w14:paraId="61DBCEF4">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第五条</w:t>
      </w:r>
      <w:r>
        <w:rPr>
          <w:rFonts w:hint="eastAsia" w:ascii="仿宋_GB2312" w:hAnsi="仿宋_GB2312" w:eastAsia="仿宋_GB2312" w:cs="仿宋_GB2312"/>
          <w:sz w:val="30"/>
          <w:szCs w:val="30"/>
          <w:lang w:val="en-US" w:eastAsia="zh-CN"/>
        </w:rPr>
        <w:t xml:space="preserve"> 公民有依法接受职业教育的权利。</w:t>
      </w:r>
    </w:p>
    <w:p w14:paraId="1B61796B">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第六条</w:t>
      </w:r>
      <w:r>
        <w:rPr>
          <w:rFonts w:hint="eastAsia" w:ascii="仿宋_GB2312" w:hAnsi="仿宋_GB2312" w:eastAsia="仿宋_GB2312" w:cs="仿宋_GB2312"/>
          <w:sz w:val="30"/>
          <w:szCs w:val="30"/>
          <w:lang w:val="en-US" w:eastAsia="zh-CN"/>
        </w:rPr>
        <w:t xml:space="preserve"> 职业教育实行政府统筹、分级管理、地方为主、行业指导、校企合作、社会参与。</w:t>
      </w:r>
    </w:p>
    <w:p w14:paraId="30F6DE91">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第七条</w:t>
      </w:r>
      <w:r>
        <w:rPr>
          <w:rFonts w:hint="eastAsia" w:ascii="仿宋_GB2312" w:hAnsi="仿宋_GB2312" w:eastAsia="仿宋_GB2312" w:cs="仿宋_GB2312"/>
          <w:sz w:val="30"/>
          <w:szCs w:val="30"/>
          <w:lang w:val="en-US" w:eastAsia="zh-CN"/>
        </w:rPr>
        <w:t xml:space="preserve"> 各级人民政府应当将发展职业教育纳入国民经济和社会发展规划，与促进就业创业和推动发展方式转变、产业结构调整、技术优化升级等整体部署、统筹实施。</w:t>
      </w:r>
    </w:p>
    <w:p w14:paraId="229E776C">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第八条</w:t>
      </w:r>
      <w:r>
        <w:rPr>
          <w:rFonts w:hint="eastAsia" w:ascii="仿宋_GB2312" w:hAnsi="仿宋_GB2312" w:eastAsia="仿宋_GB2312" w:cs="仿宋_GB2312"/>
          <w:sz w:val="30"/>
          <w:szCs w:val="30"/>
          <w:lang w:val="en-US" w:eastAsia="zh-CN"/>
        </w:rPr>
        <w:t xml:space="preserve"> 国务院建立职业教育工作协调机制，统筹协调全国职业教育工作。</w:t>
      </w:r>
    </w:p>
    <w:p w14:paraId="7D7435E8">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国务院教育行政部门负责职业教育工作的统筹规划、综合协调、宏观管理。国务院教育行政部门、人力资源社会保障行政部门和其他有关部门在国务院规定的职责范围内，分别负责有关的职业教育工作。</w:t>
      </w:r>
    </w:p>
    <w:p w14:paraId="6A3FC2E0">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省、自治区、直辖市人民政府应当加强对本行政区域内职业教育工作的领导，明确设区的市、县级人民政府职业教育具体工作职责，统筹协调职业教育发展，组织开展督导评估。</w:t>
      </w:r>
    </w:p>
    <w:p w14:paraId="3F87F862">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县级以上地方人民政府有关部门应当加强沟通配合，共同推进职业教育工作。</w:t>
      </w:r>
    </w:p>
    <w:p w14:paraId="16FF4380">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第九条</w:t>
      </w:r>
      <w:r>
        <w:rPr>
          <w:rFonts w:hint="eastAsia" w:ascii="仿宋_GB2312" w:hAnsi="仿宋_GB2312" w:eastAsia="仿宋_GB2312" w:cs="仿宋_GB2312"/>
          <w:sz w:val="30"/>
          <w:szCs w:val="30"/>
          <w:lang w:val="en-US" w:eastAsia="zh-CN"/>
        </w:rPr>
        <w:t xml:space="preserve"> 国家鼓励发展多种层次和形式的职业教育，推进多元办学，支持社会力量广泛、平等参与职业教育。</w:t>
      </w:r>
    </w:p>
    <w:p w14:paraId="422EBD7D">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国家发挥企业的重要办学主体作用，推动企业深度参与职业教育，鼓励企业举办高质量职业教育。</w:t>
      </w:r>
    </w:p>
    <w:p w14:paraId="46BC3CA4">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有关行业主管部门、工会和中华职业教育社等群团组织、行业组织、企业、事业单位等应当依法履行实施职业教育的义务，参与、支持或者开展职业教育。</w:t>
      </w:r>
    </w:p>
    <w:p w14:paraId="026CD5D3">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第十条</w:t>
      </w:r>
      <w:r>
        <w:rPr>
          <w:rFonts w:hint="eastAsia" w:ascii="仿宋_GB2312" w:hAnsi="仿宋_GB2312" w:eastAsia="仿宋_GB2312" w:cs="仿宋_GB2312"/>
          <w:sz w:val="30"/>
          <w:szCs w:val="30"/>
          <w:lang w:val="en-US" w:eastAsia="zh-CN"/>
        </w:rPr>
        <w:t xml:space="preserve"> 国家采取措施，大力发展技工教育，全面提高产业工人素质。</w:t>
      </w:r>
    </w:p>
    <w:p w14:paraId="17AE5EFE">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国家采取措施，支持举办面向农村的职业教育，组织开展农业技能培训、返乡创业就业培训和职业技能培训，培养高素质乡村振兴人才。</w:t>
      </w:r>
    </w:p>
    <w:p w14:paraId="7E3DD3D1">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国家采取措施，扶持革命老区、民族地区、边远地区、欠发达地区职业教育的发展。</w:t>
      </w:r>
    </w:p>
    <w:p w14:paraId="37D455C8">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国家采取措施，组织各类转岗、再就业、失业人员以及特殊人群等接受各种形式的职业教育，扶持残疾人职业教育的发展。</w:t>
      </w:r>
    </w:p>
    <w:p w14:paraId="6704BB1C">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国家保障妇女平等接受职业教育的权利。</w:t>
      </w:r>
    </w:p>
    <w:p w14:paraId="173A8D3D">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第十一条</w:t>
      </w:r>
      <w:r>
        <w:rPr>
          <w:rFonts w:hint="eastAsia" w:ascii="仿宋_GB2312" w:hAnsi="仿宋_GB2312" w:eastAsia="仿宋_GB2312" w:cs="仿宋_GB2312"/>
          <w:sz w:val="30"/>
          <w:szCs w:val="30"/>
          <w:lang w:val="en-US" w:eastAsia="zh-CN"/>
        </w:rPr>
        <w:t xml:space="preserve"> 实施职业教育应当根据经济社会发展需要，结合职业分类、职业标准、职业发展需求，制定教育标准或者培训方案，实行学历证书及其他学业证书、培训证书、职业资格证书和职业技能等级证书制度。</w:t>
      </w:r>
    </w:p>
    <w:p w14:paraId="320BA915">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国家实行劳动者在就业前或者上岗前接受必要的职业教育的制度。</w:t>
      </w:r>
    </w:p>
    <w:p w14:paraId="6F419E46">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第十二条</w:t>
      </w:r>
      <w:r>
        <w:rPr>
          <w:rFonts w:hint="eastAsia" w:ascii="仿宋_GB2312" w:hAnsi="仿宋_GB2312" w:eastAsia="仿宋_GB2312" w:cs="仿宋_GB2312"/>
          <w:sz w:val="30"/>
          <w:szCs w:val="30"/>
          <w:lang w:val="en-US" w:eastAsia="zh-CN"/>
        </w:rPr>
        <w:t xml:space="preserve"> 国家采取措施，提高技术技能人才的社会地位和待遇，弘扬劳动光荣、技能宝贵、创造伟大的时代风尚。</w:t>
      </w:r>
    </w:p>
    <w:p w14:paraId="70E69A72">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国家对在职业教育工作中做出显著成绩的单位和个人按照有关规定给予表彰、奖励。</w:t>
      </w:r>
    </w:p>
    <w:p w14:paraId="501F5075">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每年5月的第二周为职业教育活动周。</w:t>
      </w:r>
    </w:p>
    <w:p w14:paraId="229CEE98">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第十三条</w:t>
      </w:r>
      <w:r>
        <w:rPr>
          <w:rFonts w:hint="eastAsia" w:ascii="仿宋_GB2312" w:hAnsi="仿宋_GB2312" w:eastAsia="仿宋_GB2312" w:cs="仿宋_GB2312"/>
          <w:sz w:val="30"/>
          <w:szCs w:val="30"/>
          <w:lang w:val="en-US" w:eastAsia="zh-CN"/>
        </w:rPr>
        <w:t xml:space="preserve"> 国家鼓励职业教育领域的对外交流与合作，支持引进境外优质资源发展职业教育，鼓励有条件的职业教育机构赴境外办学，支持开展多种形式的职业教育学习成果互认。</w:t>
      </w:r>
    </w:p>
    <w:p w14:paraId="50423433">
      <w:pPr>
        <w:bidi w:val="0"/>
        <w:ind w:left="0" w:leftChars="0" w:firstLine="0" w:firstLineChars="0"/>
        <w:jc w:val="center"/>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第二章 职业教育体系</w:t>
      </w:r>
    </w:p>
    <w:p w14:paraId="375A674A">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第十四条</w:t>
      </w:r>
      <w:r>
        <w:rPr>
          <w:rFonts w:hint="eastAsia" w:ascii="仿宋_GB2312" w:hAnsi="仿宋_GB2312" w:eastAsia="仿宋_GB2312" w:cs="仿宋_GB2312"/>
          <w:sz w:val="30"/>
          <w:szCs w:val="30"/>
          <w:lang w:val="en-US" w:eastAsia="zh-CN"/>
        </w:rPr>
        <w:t xml:space="preserve"> 国家建立健全适应经济社会发展需要，产教深度融合，职业学校教育和职业培训并重，职业教育与普通教育相互融通，不同层次职业教育有效贯通，服务全民终身学习的现代职业教育体系。</w:t>
      </w:r>
    </w:p>
    <w:p w14:paraId="02CBDCB6">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国家优化教育结构，科学配置教育资源，在义务教育后的不同阶段因地制宜、统筹推进职业教育与普通教育协调发展。</w:t>
      </w:r>
    </w:p>
    <w:p w14:paraId="74BEFE1B">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第十五条</w:t>
      </w:r>
      <w:r>
        <w:rPr>
          <w:rFonts w:hint="eastAsia" w:ascii="仿宋_GB2312" w:hAnsi="仿宋_GB2312" w:eastAsia="仿宋_GB2312" w:cs="仿宋_GB2312"/>
          <w:sz w:val="30"/>
          <w:szCs w:val="30"/>
          <w:lang w:val="en-US" w:eastAsia="zh-CN"/>
        </w:rPr>
        <w:t xml:space="preserve"> 职业学校教育分为中等职业学校教育、高等职业学校教育。</w:t>
      </w:r>
    </w:p>
    <w:p w14:paraId="2C46B2EF">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中等职业学校教育由高级中等教育层次的中等职业学校（含技工学校）实施。</w:t>
      </w:r>
    </w:p>
    <w:p w14:paraId="6DA0DA62">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高等职业学校教育由专科、本科及以上教育层次的高等职业学校和普通高等学校实施。根据高等职业学校设置制度规定，将符合条件的技师学院纳入高等职业学校序列。</w:t>
      </w:r>
    </w:p>
    <w:p w14:paraId="01EF53F3">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其他学校、教育机构或者符合条件的企业、行业组织按照教育行政部门的统筹规划，可以实施相应层次的职业学校教育或者提供纳入人才培养方案的学分课程。</w:t>
      </w:r>
    </w:p>
    <w:p w14:paraId="607563A4">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第十六条</w:t>
      </w:r>
      <w:r>
        <w:rPr>
          <w:rFonts w:hint="eastAsia" w:ascii="仿宋_GB2312" w:hAnsi="仿宋_GB2312" w:eastAsia="仿宋_GB2312" w:cs="仿宋_GB2312"/>
          <w:sz w:val="30"/>
          <w:szCs w:val="30"/>
          <w:lang w:val="en-US" w:eastAsia="zh-CN"/>
        </w:rPr>
        <w:t xml:space="preserve"> 职业培训包括就业前培训、在职培训、再就业培训及其他职业性培训，可以根据实际情况分级分类实施。</w:t>
      </w:r>
    </w:p>
    <w:p w14:paraId="07010E42">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职业培训可以由相应的职业培训机构、职业学校实施。</w:t>
      </w:r>
    </w:p>
    <w:p w14:paraId="41653C29">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其他学校或者教育机构以及企业、社会组织可以根据办学能力、社会需求，依法开展面向社会的、多种形式的职业培训。</w:t>
      </w:r>
    </w:p>
    <w:p w14:paraId="6405104E">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第十七条</w:t>
      </w:r>
      <w:r>
        <w:rPr>
          <w:rFonts w:hint="eastAsia" w:ascii="仿宋_GB2312" w:hAnsi="仿宋_GB2312" w:eastAsia="仿宋_GB2312" w:cs="仿宋_GB2312"/>
          <w:sz w:val="30"/>
          <w:szCs w:val="30"/>
          <w:lang w:val="en-US" w:eastAsia="zh-CN"/>
        </w:rPr>
        <w:t xml:space="preserve"> 国家建立健全各级各类学校教育与职业培训学分、资历以及其他学习成果的认证、积累和转换机制，推进职业教育国家学分银行建设，促进职业教育与普通教育的学习成果融通、互认。</w:t>
      </w:r>
    </w:p>
    <w:p w14:paraId="5A732CE1">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军队职业技能等级纳入国家职业资格认证和职业技能等级评价体系。</w:t>
      </w:r>
    </w:p>
    <w:p w14:paraId="5F5327BD">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第十八条</w:t>
      </w:r>
      <w:r>
        <w:rPr>
          <w:rFonts w:hint="eastAsia" w:ascii="仿宋_GB2312" w:hAnsi="仿宋_GB2312" w:eastAsia="仿宋_GB2312" w:cs="仿宋_GB2312"/>
          <w:sz w:val="30"/>
          <w:szCs w:val="30"/>
          <w:lang w:val="en-US" w:eastAsia="zh-CN"/>
        </w:rPr>
        <w:t xml:space="preserve"> 残疾人职业教育除由残疾人教育机构实施外，各级各类职业学校和职业培训机构及其他教育机构应当按照国家有关规定接纳残疾学生，并加强无障碍环境建设，为残疾学生学习、生活提供必要的帮助和便利。</w:t>
      </w:r>
    </w:p>
    <w:p w14:paraId="6468518C">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国家采取措施，支持残疾人教育机构、职业学校、职业培训机构及其他教育机构开展或者联合开展残疾人职业教育。</w:t>
      </w:r>
    </w:p>
    <w:p w14:paraId="370E8818">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从事残疾人职业教育的特殊教育教师按照规定享受特殊教育津贴。</w:t>
      </w:r>
    </w:p>
    <w:p w14:paraId="6E491DF6">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第十九条</w:t>
      </w:r>
      <w:r>
        <w:rPr>
          <w:rFonts w:hint="eastAsia" w:ascii="仿宋_GB2312" w:hAnsi="仿宋_GB2312" w:eastAsia="仿宋_GB2312" w:cs="仿宋_GB2312"/>
          <w:sz w:val="30"/>
          <w:szCs w:val="30"/>
          <w:lang w:val="en-US" w:eastAsia="zh-CN"/>
        </w:rPr>
        <w:t xml:space="preserve"> 县级以上人民政府教育行政部门应当鼓励和支持普通中小学、普通高等学校，根据实际需要增加职业教育相关教学内容，进行职业启蒙、职业认知、职业体验，开展职业规划指导、劳动教育，并组织、引导职业学校、职业培训机构、企业和行业组织等提供条件和支持。</w:t>
      </w:r>
    </w:p>
    <w:p w14:paraId="35993917">
      <w:pPr>
        <w:bidi w:val="0"/>
        <w:ind w:left="0" w:leftChars="0" w:firstLine="0" w:firstLineChars="0"/>
        <w:jc w:val="center"/>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第三章 职业教育的实施</w:t>
      </w:r>
    </w:p>
    <w:p w14:paraId="37018FE1">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第二十条</w:t>
      </w:r>
      <w:r>
        <w:rPr>
          <w:rFonts w:hint="eastAsia" w:ascii="仿宋_GB2312" w:hAnsi="仿宋_GB2312" w:eastAsia="仿宋_GB2312" w:cs="仿宋_GB2312"/>
          <w:sz w:val="30"/>
          <w:szCs w:val="30"/>
          <w:lang w:val="en-US" w:eastAsia="zh-CN"/>
        </w:rPr>
        <w:t xml:space="preserve"> 国务院教育行政部门会同有关部门根据经济社会发展需要和职业教育特点，组织制定、修订职业教育专业目录，完善职业教育教学等标准，宏观管理指导职业学校教材建设。</w:t>
      </w:r>
    </w:p>
    <w:p w14:paraId="512389A7">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第二十一条</w:t>
      </w:r>
      <w:r>
        <w:rPr>
          <w:rFonts w:hint="eastAsia" w:ascii="仿宋_GB2312" w:hAnsi="仿宋_GB2312" w:eastAsia="仿宋_GB2312" w:cs="仿宋_GB2312"/>
          <w:sz w:val="30"/>
          <w:szCs w:val="30"/>
          <w:lang w:val="en-US" w:eastAsia="zh-CN"/>
        </w:rPr>
        <w:t xml:space="preserve"> 县级以上地方人民政府应当举办或者参与举办发挥骨干和示范作用的职业学校、职业培训机构，对社会力量依法举办的职业学校和职业培训机构给予指导和扶持。</w:t>
      </w:r>
    </w:p>
    <w:p w14:paraId="4170B1ED">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国家根据产业布局和行业发展需要，采取措施，大力发展先进制造等产业需要的新兴专业，支持高水平职业学校、专业建设。</w:t>
      </w:r>
    </w:p>
    <w:p w14:paraId="14F50090">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国家采取措施，加快培养托育、护理、康养、家政等方面技术技能人才。</w:t>
      </w:r>
    </w:p>
    <w:p w14:paraId="7ED55351">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第二十二条</w:t>
      </w:r>
      <w:r>
        <w:rPr>
          <w:rFonts w:hint="eastAsia" w:ascii="仿宋_GB2312" w:hAnsi="仿宋_GB2312" w:eastAsia="仿宋_GB2312" w:cs="仿宋_GB2312"/>
          <w:sz w:val="30"/>
          <w:szCs w:val="30"/>
          <w:lang w:val="en-US" w:eastAsia="zh-CN"/>
        </w:rPr>
        <w:t xml:space="preserve"> 县级人民政府可以根据县域经济社会发展的需要，设立职业教育中心学校，开展多种形式的职业教育，实施实用技术培训。</w:t>
      </w:r>
    </w:p>
    <w:p w14:paraId="5663E455">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教育行政部门可以委托职业教育中心学校承担教育教学指导、教育质量评价、教师培训等职业教育公共管理和服务工作。</w:t>
      </w:r>
    </w:p>
    <w:p w14:paraId="05F183B2">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第二十三条</w:t>
      </w:r>
      <w:r>
        <w:rPr>
          <w:rFonts w:hint="eastAsia" w:ascii="仿宋_GB2312" w:hAnsi="仿宋_GB2312" w:eastAsia="仿宋_GB2312" w:cs="仿宋_GB2312"/>
          <w:sz w:val="30"/>
          <w:szCs w:val="30"/>
          <w:lang w:val="en-US" w:eastAsia="zh-CN"/>
        </w:rPr>
        <w:t xml:space="preserve"> 行业主管部门按照行业、产业人才需求加强对职业教育的指导，定期发布人才需求信息。</w:t>
      </w:r>
    </w:p>
    <w:p w14:paraId="43850FD4">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行业主管部门、工会和中华职业教育社等群团组织、行业组织可以根据需要，参与制定职业教育专业目录和相关职业教育标准，开展人才需求预测、职业生涯发展研究及信息咨询，培育供需匹配的产教融合服务组织，举办或者联合举办职业学校、职业培训机构，组织、协调、指导相关企业、事业单位、社会组织举办职业学校、职业培训机构。</w:t>
      </w:r>
    </w:p>
    <w:p w14:paraId="5521F1AE">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第二十四条</w:t>
      </w:r>
      <w:r>
        <w:rPr>
          <w:rFonts w:hint="eastAsia" w:ascii="仿宋_GB2312" w:hAnsi="仿宋_GB2312" w:eastAsia="仿宋_GB2312" w:cs="仿宋_GB2312"/>
          <w:sz w:val="30"/>
          <w:szCs w:val="30"/>
          <w:lang w:val="en-US" w:eastAsia="zh-CN"/>
        </w:rPr>
        <w:t xml:space="preserve"> 企业应当根据本单位实际，有计划地对本单位的职工和准备招用的人员实施职业教育，并可以设置专职或者兼职实施职业教育的岗位。</w:t>
      </w:r>
    </w:p>
    <w:p w14:paraId="79592747">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企业应当按照国家有关规定实行培训上岗制度。企业招用的从事技术工种的劳动者，上岗前必须进行安全生产教育和技术培训；招用的从事涉及公共安全、人身健康、生命财产安全等特定职业（工种）的劳动者，必须经过培训并依法取得职业资格或者特种作业资格。</w:t>
      </w:r>
    </w:p>
    <w:p w14:paraId="18BE8A1D">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企业开展职业教育的情况应当纳入企业社会责任报告。</w:t>
      </w:r>
    </w:p>
    <w:p w14:paraId="52E957E3">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第二十五条</w:t>
      </w:r>
      <w:r>
        <w:rPr>
          <w:rFonts w:hint="eastAsia" w:ascii="仿宋_GB2312" w:hAnsi="仿宋_GB2312" w:eastAsia="仿宋_GB2312" w:cs="仿宋_GB2312"/>
          <w:sz w:val="30"/>
          <w:szCs w:val="30"/>
          <w:lang w:val="en-US" w:eastAsia="zh-CN"/>
        </w:rPr>
        <w:t xml:space="preserve"> 企业可以利用资本、技术、知识、设施、设备、场地和管理等要素，举办或者联合举办职业学校、职业培训机构。</w:t>
      </w:r>
    </w:p>
    <w:p w14:paraId="07EAE991">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第二十六条</w:t>
      </w:r>
      <w:r>
        <w:rPr>
          <w:rFonts w:hint="eastAsia" w:ascii="仿宋_GB2312" w:hAnsi="仿宋_GB2312" w:eastAsia="仿宋_GB2312" w:cs="仿宋_GB2312"/>
          <w:sz w:val="30"/>
          <w:szCs w:val="30"/>
          <w:lang w:val="en-US" w:eastAsia="zh-CN"/>
        </w:rPr>
        <w:t xml:space="preserve"> 国家鼓励、指导、支持企业和其他社会力量依法举办职业学校、职业培训机构。</w:t>
      </w:r>
    </w:p>
    <w:p w14:paraId="2BE356AC">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地方各级人民政府采取购买服务，向学生提供助学贷款、奖助学金等措施，对企业和其他社会力量依法举办的职业学校和职业培训机构予以扶持；对其中的非营利性职业学校和职业培训机构还可以采取政府补贴、基金奖励、捐资激励等扶持措施，参照同级同类公办学校生均经费等相关经费标准和支持政策给予适当补助。</w:t>
      </w:r>
    </w:p>
    <w:p w14:paraId="3C5CAEFD">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第二十七条</w:t>
      </w:r>
      <w:r>
        <w:rPr>
          <w:rFonts w:hint="eastAsia" w:ascii="仿宋_GB2312" w:hAnsi="仿宋_GB2312" w:eastAsia="仿宋_GB2312" w:cs="仿宋_GB2312"/>
          <w:sz w:val="30"/>
          <w:szCs w:val="30"/>
          <w:lang w:val="en-US" w:eastAsia="zh-CN"/>
        </w:rPr>
        <w:t xml:space="preserve"> 对深度参与产教融合、校企合作，在提升技术技能人才培养质量、促进就业中发挥重要主体作用的企业，按照规定给予奖励；对符合条件认定为产教融合型企业的，按照规定给予金融、财政、土地等支持，落实教育费附加、地方教育附加减免及其他税费优惠。</w:t>
      </w:r>
    </w:p>
    <w:p w14:paraId="7FCEF237">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第二十八条</w:t>
      </w:r>
      <w:r>
        <w:rPr>
          <w:rFonts w:hint="eastAsia" w:ascii="仿宋_GB2312" w:hAnsi="仿宋_GB2312" w:eastAsia="仿宋_GB2312" w:cs="仿宋_GB2312"/>
          <w:sz w:val="30"/>
          <w:szCs w:val="30"/>
          <w:lang w:val="en-US" w:eastAsia="zh-CN"/>
        </w:rPr>
        <w:t xml:space="preserve"> 联合举办职业学校、职业培训机构的，举办者应当签订联合办学协议，约定各方权利义务。</w:t>
      </w:r>
    </w:p>
    <w:p w14:paraId="46FA65DE">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地方各级人民政府及行业主管部门支持社会力量依法参与联合办学，举办多种形式的职业学校、职业培训机构。</w:t>
      </w:r>
    </w:p>
    <w:p w14:paraId="329AEA97">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行业主管部门、工会等群团组织、行业组织、企业、事业单位等委托学校、职业培训机构实施职业教育的，应当签订委托合同。</w:t>
      </w:r>
    </w:p>
    <w:p w14:paraId="12D1766E">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第二十九条</w:t>
      </w:r>
      <w:r>
        <w:rPr>
          <w:rFonts w:hint="eastAsia" w:ascii="仿宋_GB2312" w:hAnsi="仿宋_GB2312" w:eastAsia="仿宋_GB2312" w:cs="仿宋_GB2312"/>
          <w:sz w:val="30"/>
          <w:szCs w:val="30"/>
          <w:lang w:val="en-US" w:eastAsia="zh-CN"/>
        </w:rPr>
        <w:t xml:space="preserve"> 县级以上人民政府应当加强职业教育实习实训基地建设，组织行业主管部门、工会等群团组织、行业组织、企业等根据区域或者行业职业教育的需要建设高水平、专业化、开放共享的产教融合实习实训基地，为职业学校、职业培训机构开展实习实训和企业开展培训提供条件和支持。</w:t>
      </w:r>
    </w:p>
    <w:p w14:paraId="61A9FA25">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第三十条</w:t>
      </w:r>
      <w:r>
        <w:rPr>
          <w:rFonts w:hint="eastAsia" w:ascii="仿宋_GB2312" w:hAnsi="仿宋_GB2312" w:eastAsia="仿宋_GB2312" w:cs="仿宋_GB2312"/>
          <w:sz w:val="30"/>
          <w:szCs w:val="30"/>
          <w:lang w:val="en-US" w:eastAsia="zh-CN"/>
        </w:rPr>
        <w:t xml:space="preserve"> 国家推行中国特色学徒制，引导企业按照岗位总量的一定比例设立学徒岗位，鼓励和支持有技术技能人才培养能力的企业特别是产教融合型企业与职业学校、职业培训机构开展合作，对新招用职工、在岗职工和转岗职工进行学徒培训，或者与职业学校联合招收学生，以工学结合的方式进行学徒培养。有关企业可以按照规定享受补贴。</w:t>
      </w:r>
    </w:p>
    <w:p w14:paraId="0A212DD5">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企业与职业学校联合招收学生，以工学结合的方式进行学徒培养的，应当签订学徒培养协议。</w:t>
      </w:r>
    </w:p>
    <w:p w14:paraId="0F5BE191">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第三十一条</w:t>
      </w:r>
      <w:r>
        <w:rPr>
          <w:rFonts w:hint="eastAsia" w:ascii="仿宋_GB2312" w:hAnsi="仿宋_GB2312" w:eastAsia="仿宋_GB2312" w:cs="仿宋_GB2312"/>
          <w:sz w:val="30"/>
          <w:szCs w:val="30"/>
          <w:lang w:val="en-US" w:eastAsia="zh-CN"/>
        </w:rPr>
        <w:t xml:space="preserve"> 国家鼓励行业组织、企业等参与职业教育专业教材开发，将新技术、新工艺、新理念纳入职业学校教材，并可以通过活页式教材等多种方式进行动态更新；支持运用信息技术和其他现代化教学方式，开发职业教育网络课程等学习资源，创新教学方式和学校管理方式，推动职业教育信息化建设与融合应用。</w:t>
      </w:r>
    </w:p>
    <w:p w14:paraId="65688BC0">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第三十二条</w:t>
      </w:r>
      <w:r>
        <w:rPr>
          <w:rFonts w:hint="eastAsia" w:ascii="仿宋_GB2312" w:hAnsi="仿宋_GB2312" w:eastAsia="仿宋_GB2312" w:cs="仿宋_GB2312"/>
          <w:sz w:val="30"/>
          <w:szCs w:val="30"/>
          <w:lang w:val="en-US" w:eastAsia="zh-CN"/>
        </w:rPr>
        <w:t xml:space="preserve"> 国家通过组织开展职业技能竞赛等活动，为技术技能人才提供展示技能、切磋技艺的平台，持续培养更多高素质技术技能人才、能工巧匠和大国工匠。</w:t>
      </w:r>
    </w:p>
    <w:p w14:paraId="659E2EE4">
      <w:pPr>
        <w:bidi w:val="0"/>
        <w:ind w:left="0" w:leftChars="0" w:firstLine="0" w:firstLineChars="0"/>
        <w:jc w:val="center"/>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第四章 职业学校和职业培训机构</w:t>
      </w:r>
    </w:p>
    <w:p w14:paraId="36114B54">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第三十三条</w:t>
      </w:r>
      <w:r>
        <w:rPr>
          <w:rFonts w:hint="eastAsia" w:ascii="仿宋_GB2312" w:hAnsi="仿宋_GB2312" w:eastAsia="仿宋_GB2312" w:cs="仿宋_GB2312"/>
          <w:sz w:val="30"/>
          <w:szCs w:val="30"/>
          <w:lang w:val="en-US" w:eastAsia="zh-CN"/>
        </w:rPr>
        <w:t xml:space="preserve"> 职业学校的设立，应当符合下列基本条件：</w:t>
      </w:r>
    </w:p>
    <w:p w14:paraId="561F7728">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（一）有组织机构和章程；</w:t>
      </w:r>
    </w:p>
    <w:p w14:paraId="432A17E3">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（二）有合格的教师和管理人员；</w:t>
      </w:r>
    </w:p>
    <w:p w14:paraId="33E3871D">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（三）有与所实施职业教育相适应、符合规定标准和安全要求的教学及实习实训场所、设施、设备以及课程体系、教育教学资源等；</w:t>
      </w:r>
    </w:p>
    <w:p w14:paraId="6034855C">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（四）有必备的办学资金和与办学规模相适应的稳定经费来源。</w:t>
      </w:r>
    </w:p>
    <w:p w14:paraId="4A10BD2C">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设立中等职业学校，由县级以上地方人民政府或者有关部门按照规定的权限审批；设立实施专科层次教育的高等职业学校，由省、自治区、直辖市人民政府审批，报国务院教育行政部门备案；设立实施本科及以上层次教育的高等职业学校，由国务院教育行政部门审批。</w:t>
      </w:r>
    </w:p>
    <w:p w14:paraId="4E81E73B">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专科层次高等职业学校设置的培养高端技术技能人才的部分专业，符合产教深度融合、办学特色鲜明、培养质量较高等条件的，经国务院教育行政部门审批，可以实施本科层次的职业教育。</w:t>
      </w:r>
    </w:p>
    <w:p w14:paraId="6257A14D">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第三十四条</w:t>
      </w:r>
      <w:r>
        <w:rPr>
          <w:rFonts w:hint="eastAsia" w:ascii="仿宋_GB2312" w:hAnsi="仿宋_GB2312" w:eastAsia="仿宋_GB2312" w:cs="仿宋_GB2312"/>
          <w:sz w:val="30"/>
          <w:szCs w:val="30"/>
          <w:lang w:val="en-US" w:eastAsia="zh-CN"/>
        </w:rPr>
        <w:t xml:space="preserve"> 职业培训机构的设立，应当符合下列基本条件：</w:t>
      </w:r>
    </w:p>
    <w:p w14:paraId="26FA611C">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（一）有组织机构和管理制度；</w:t>
      </w:r>
    </w:p>
    <w:p w14:paraId="3371B1A3">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（二）有与培训任务相适应的课程体系、教师或者其他授课人员、管理人员；</w:t>
      </w:r>
    </w:p>
    <w:p w14:paraId="3D269325">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（三）有与培训任务相适应、符合安全要求的场所、设施、设备；</w:t>
      </w:r>
    </w:p>
    <w:p w14:paraId="228270A4">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（四）有相应的经费。</w:t>
      </w:r>
    </w:p>
    <w:p w14:paraId="0A06431E">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职业培训机构的设立、变更和终止，按照国家有关规定执行。</w:t>
      </w:r>
    </w:p>
    <w:p w14:paraId="7762E9E9">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第三十五条</w:t>
      </w:r>
      <w:r>
        <w:rPr>
          <w:rFonts w:hint="eastAsia" w:ascii="仿宋_GB2312" w:hAnsi="仿宋_GB2312" w:eastAsia="仿宋_GB2312" w:cs="仿宋_GB2312"/>
          <w:sz w:val="30"/>
          <w:szCs w:val="30"/>
          <w:lang w:val="en-US" w:eastAsia="zh-CN"/>
        </w:rPr>
        <w:t xml:space="preserve"> 公办职业学校实行中国共产党职业学校基层组织领导的校长负责制，中国共产党职业学校基层组织按照中国共产党章程和有关规定，全面领导学校工作，支持校长独立负责地行使职权。民办职业学校依法健全决策机制，强化学校的中国共产党基层组织政治功能，保证其在学校重大事项决策、监督、执行各环节有效发挥作用。</w:t>
      </w:r>
    </w:p>
    <w:p w14:paraId="58F90DC8">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校长全面负责本学校教学、科学研究和其他行政管理工作。校长通过校长办公会或者校务会议行使职权，依法接受监督。</w:t>
      </w:r>
    </w:p>
    <w:p w14:paraId="43758794">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职业学校可以通过咨询、协商等多种形式，听取行业组织、企业、学校毕业生等方面代表的意见，发挥其参与学校建设、支持学校发展的作用。</w:t>
      </w:r>
    </w:p>
    <w:p w14:paraId="3DD6BA40">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第三十六条</w:t>
      </w:r>
      <w:r>
        <w:rPr>
          <w:rFonts w:hint="eastAsia" w:ascii="仿宋_GB2312" w:hAnsi="仿宋_GB2312" w:eastAsia="仿宋_GB2312" w:cs="仿宋_GB2312"/>
          <w:sz w:val="30"/>
          <w:szCs w:val="30"/>
          <w:lang w:val="en-US" w:eastAsia="zh-CN"/>
        </w:rPr>
        <w:t xml:space="preserve"> 职业学校应当依法办学，依据章程自主管理。</w:t>
      </w:r>
    </w:p>
    <w:p w14:paraId="61EA0C2F">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职业学校在办学中可以开展下列活动：</w:t>
      </w:r>
    </w:p>
    <w:p w14:paraId="296A51F9">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（一）根据产业需求，依法自主设置专业；</w:t>
      </w:r>
    </w:p>
    <w:p w14:paraId="1620CA10">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（二）基于职业教育标准制定人才培养方案，依法自主选用或者编写专业课程教材；</w:t>
      </w:r>
    </w:p>
    <w:p w14:paraId="6134C9D3">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（三）根据培养技术技能人才的需要，自主设置学习制度，安排教学过程；</w:t>
      </w:r>
    </w:p>
    <w:p w14:paraId="3CA9DC9A">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（四）在基本学制基础上，适当调整修业年限，实行弹性学习制度；</w:t>
      </w:r>
    </w:p>
    <w:p w14:paraId="781D7744">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（五）依法自主选聘专业课教师。</w:t>
      </w:r>
    </w:p>
    <w:p w14:paraId="230E29F6">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第三十七条</w:t>
      </w:r>
      <w:r>
        <w:rPr>
          <w:rFonts w:hint="eastAsia" w:ascii="仿宋_GB2312" w:hAnsi="仿宋_GB2312" w:eastAsia="仿宋_GB2312" w:cs="仿宋_GB2312"/>
          <w:sz w:val="30"/>
          <w:szCs w:val="30"/>
          <w:lang w:val="en-US" w:eastAsia="zh-CN"/>
        </w:rPr>
        <w:t xml:space="preserve"> 国家建立符合职业教育特点的考试招生制度。</w:t>
      </w:r>
    </w:p>
    <w:p w14:paraId="02F6C2BF">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中等职业学校可以按照国家有关规定，在有关专业实行与高等职业学校教育的贯通招生和培养。</w:t>
      </w:r>
    </w:p>
    <w:p w14:paraId="199E051F">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高等职业学校可以按照国家有关规定，采取文化素质与职业技能相结合的考核方式招收学生；对有突出贡献的技术技能人才，经考核合格，可以破格录取。</w:t>
      </w:r>
    </w:p>
    <w:p w14:paraId="3498EE14">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省级以上人民政府教育行政部门会同同级人民政府有关部门建立职业教育统一招生平台，汇总发布实施职业教育的学校及其专业设置、招生情况等信息，提供查询、报考等服务。</w:t>
      </w:r>
    </w:p>
    <w:p w14:paraId="2B0B7C97">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第三十八条</w:t>
      </w:r>
      <w:r>
        <w:rPr>
          <w:rFonts w:hint="eastAsia" w:ascii="仿宋_GB2312" w:hAnsi="仿宋_GB2312" w:eastAsia="仿宋_GB2312" w:cs="仿宋_GB2312"/>
          <w:sz w:val="30"/>
          <w:szCs w:val="30"/>
          <w:lang w:val="en-US" w:eastAsia="zh-CN"/>
        </w:rPr>
        <w:t xml:space="preserve"> 职业学校应当加强校风学风、师德师风建设，营造良好学习环境，保证教育教学质量。</w:t>
      </w:r>
    </w:p>
    <w:p w14:paraId="0DB2B5D3">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第三十九条</w:t>
      </w:r>
      <w:r>
        <w:rPr>
          <w:rFonts w:hint="eastAsia" w:ascii="仿宋_GB2312" w:hAnsi="仿宋_GB2312" w:eastAsia="仿宋_GB2312" w:cs="仿宋_GB2312"/>
          <w:sz w:val="30"/>
          <w:szCs w:val="30"/>
          <w:lang w:val="en-US" w:eastAsia="zh-CN"/>
        </w:rPr>
        <w:t xml:space="preserve"> 职业学校应当建立健全就业创业促进机制，采取多种形式为学生提供职业规划、职业体验、求职指导等就业创业服务，增强学生就业创业能力。</w:t>
      </w:r>
    </w:p>
    <w:p w14:paraId="4153A747">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第四十条</w:t>
      </w:r>
      <w:r>
        <w:rPr>
          <w:rFonts w:hint="eastAsia" w:ascii="仿宋_GB2312" w:hAnsi="仿宋_GB2312" w:eastAsia="仿宋_GB2312" w:cs="仿宋_GB2312"/>
          <w:sz w:val="30"/>
          <w:szCs w:val="30"/>
          <w:lang w:val="en-US" w:eastAsia="zh-CN"/>
        </w:rPr>
        <w:t xml:space="preserve"> 职业学校、职业培训机构实施职业教育应当注重产教融合，实行校企合作。</w:t>
      </w:r>
    </w:p>
    <w:p w14:paraId="4EB30DE1">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职业学校、职业培训机构可以通过与行业组织、企业、事业单位等共同举办职业教育机构、组建职业教育集团、开展订单培养等多种形式进行合作。</w:t>
      </w:r>
    </w:p>
    <w:p w14:paraId="41ED7D60">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国家鼓励职业学校在招生就业、人才培养方案制定、师资队伍建设、专业规划、课程设置、教材开发、教学设计、教学实施、质量评价、科学研究、技术服务、科技成果转化以及技术技能创新平台、专业化技术转移机构、实习实训基地建设等方面，与相关行业组织、企业、事业单位等建立合作机制。开展合作的，应当签订协议，明确双方权利义务。</w:t>
      </w:r>
    </w:p>
    <w:p w14:paraId="1C1E7291">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第四十一条</w:t>
      </w:r>
      <w:r>
        <w:rPr>
          <w:rFonts w:hint="eastAsia" w:ascii="仿宋_GB2312" w:hAnsi="仿宋_GB2312" w:eastAsia="仿宋_GB2312" w:cs="仿宋_GB2312"/>
          <w:sz w:val="30"/>
          <w:szCs w:val="30"/>
          <w:lang w:val="en-US" w:eastAsia="zh-CN"/>
        </w:rPr>
        <w:t xml:space="preserve"> 职业学校、职业培训机构开展校企合作、提供社会服务或者以实习实训为目的举办企业、开展经营活动取得的收入用于改善办学条件；收入的一定比例可以用于支付教师、企业专家、外聘人员和受教育者的劳动报酬，也可以作为绩效工资来源，符合国家规定的可以不受绩效工资总量限制。</w:t>
      </w:r>
    </w:p>
    <w:p w14:paraId="17CDB27D">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职业学校、职业培训机构实施前款规定的活动，符合国家有关规定的，享受相关税费优惠政策。</w:t>
      </w:r>
    </w:p>
    <w:p w14:paraId="7B186044">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第四十二条</w:t>
      </w:r>
      <w:r>
        <w:rPr>
          <w:rFonts w:hint="eastAsia" w:ascii="仿宋_GB2312" w:hAnsi="仿宋_GB2312" w:eastAsia="仿宋_GB2312" w:cs="仿宋_GB2312"/>
          <w:sz w:val="30"/>
          <w:szCs w:val="30"/>
          <w:lang w:val="en-US" w:eastAsia="zh-CN"/>
        </w:rPr>
        <w:t xml:space="preserve"> 职业学校按照规定的收费标准和办法，收取学费和其他必要费用；符合国家规定条件的，应当予以减免；不得以介绍工作、安排实习实训等名义违法收取费用。</w:t>
      </w:r>
    </w:p>
    <w:p w14:paraId="72507FC1">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职业培训机构、职业学校面向社会开展培训的，按照国家有关规定收取费用。</w:t>
      </w:r>
    </w:p>
    <w:p w14:paraId="60B6D82E">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第四十三条</w:t>
      </w:r>
      <w:r>
        <w:rPr>
          <w:rFonts w:hint="eastAsia" w:ascii="仿宋_GB2312" w:hAnsi="仿宋_GB2312" w:eastAsia="仿宋_GB2312" w:cs="仿宋_GB2312"/>
          <w:sz w:val="30"/>
          <w:szCs w:val="30"/>
          <w:lang w:val="en-US" w:eastAsia="zh-CN"/>
        </w:rPr>
        <w:t xml:space="preserve"> 职业学校、职业培训机构应当建立健全教育质量评价制度，吸纳行业组织、企业等参与评价，并及时公开相关信息，接受教育督导和社会监督。</w:t>
      </w:r>
    </w:p>
    <w:p w14:paraId="0C7894D8">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县级以上人民政府教育行政部门应当会同有关部门、行业组织建立符合职业教育特点的质量评价体系，组织或者委托行业组织、企业和第三方专业机构，对职业学校的办学质量进行评估，并将评估结果及时公开。</w:t>
      </w:r>
    </w:p>
    <w:p w14:paraId="4B19AD6A">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职业教育质量评价应当突出就业导向，把受教育者的职业道德、技术技能水平、就业质量作为重要指标，引导职业学校培养高素质技术技能人才。</w:t>
      </w:r>
    </w:p>
    <w:p w14:paraId="446D9133">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有关部门应当按照各自职责，加强对职业学校、职业培训机构的监督管理。</w:t>
      </w:r>
    </w:p>
    <w:p w14:paraId="6E8EB320">
      <w:pPr>
        <w:bidi w:val="0"/>
        <w:ind w:left="0" w:leftChars="0" w:firstLine="0" w:firstLineChars="0"/>
        <w:jc w:val="center"/>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第五章 职业教育的教师与受教育者</w:t>
      </w:r>
    </w:p>
    <w:p w14:paraId="7E4E6861">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第四十四条</w:t>
      </w:r>
      <w:r>
        <w:rPr>
          <w:rFonts w:hint="eastAsia" w:ascii="仿宋_GB2312" w:hAnsi="仿宋_GB2312" w:eastAsia="仿宋_GB2312" w:cs="仿宋_GB2312"/>
          <w:sz w:val="30"/>
          <w:szCs w:val="30"/>
          <w:lang w:val="en-US" w:eastAsia="zh-CN"/>
        </w:rPr>
        <w:t xml:space="preserve"> 国家保障职业教育教师的权利，提高其专业素质与社会地位。</w:t>
      </w:r>
    </w:p>
    <w:p w14:paraId="5FDA4633">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县级以上人民政府及其有关部门应当将职业教育教师的培养培训工作纳入教师队伍建设规划，保证职业教育教师队伍适应职业教育发展的需要。</w:t>
      </w:r>
    </w:p>
    <w:p w14:paraId="2FF3D445">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第四十五条</w:t>
      </w:r>
      <w:r>
        <w:rPr>
          <w:rFonts w:hint="eastAsia" w:ascii="仿宋_GB2312" w:hAnsi="仿宋_GB2312" w:eastAsia="仿宋_GB2312" w:cs="仿宋_GB2312"/>
          <w:sz w:val="30"/>
          <w:szCs w:val="30"/>
          <w:lang w:val="en-US" w:eastAsia="zh-CN"/>
        </w:rPr>
        <w:t xml:space="preserve"> 国家建立健全职业教育教师培养培训体系。</w:t>
      </w:r>
    </w:p>
    <w:p w14:paraId="55729CB4">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各级人民政府应当采取措施，加强职业教育教师专业化培养培训，鼓励设立专门的职业教育师范院校，支持高等学校设立相关专业，培养职业教育教师；鼓励行业组织、企业共同参与职业教育教师培养培训。</w:t>
      </w:r>
    </w:p>
    <w:p w14:paraId="1884E2CA">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产教融合型企业、规模以上企业应当安排一定比例的岗位，接纳职业学校、职业培训机构教师实践。</w:t>
      </w:r>
    </w:p>
    <w:p w14:paraId="2A22A485">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第四十六条</w:t>
      </w:r>
      <w:r>
        <w:rPr>
          <w:rFonts w:hint="eastAsia" w:ascii="仿宋_GB2312" w:hAnsi="仿宋_GB2312" w:eastAsia="仿宋_GB2312" w:cs="仿宋_GB2312"/>
          <w:sz w:val="30"/>
          <w:szCs w:val="30"/>
          <w:lang w:val="en-US" w:eastAsia="zh-CN"/>
        </w:rPr>
        <w:t xml:space="preserve"> 国家建立健全符合职业教育特点和发展要求的职业学校教师岗位设置和职务（职称）评聘制度。</w:t>
      </w:r>
    </w:p>
    <w:p w14:paraId="72D61D83">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职业学校的专业课教师（含实习指导教师）应当具有一定年限的相应工作经历或者实践经验，达到相应的技术技能水平。</w:t>
      </w:r>
    </w:p>
    <w:p w14:paraId="5A15D278">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具备条件的企业、事业单位经营管理和专业技术人员，以及其他有专业知识或者特殊技能的人员，经教育教学能力培训合格的，可以担任职业学校的专职或者兼职专业课教师；取得教师资格的，可以根据其技术职称聘任为相应的教师职务。取得职业学校专业课教师资格可以视情况降低学历要求。</w:t>
      </w:r>
    </w:p>
    <w:p w14:paraId="28E2F555">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第四十七条</w:t>
      </w:r>
      <w:r>
        <w:rPr>
          <w:rFonts w:hint="eastAsia" w:ascii="仿宋_GB2312" w:hAnsi="仿宋_GB2312" w:eastAsia="仿宋_GB2312" w:cs="仿宋_GB2312"/>
          <w:sz w:val="30"/>
          <w:szCs w:val="30"/>
          <w:lang w:val="en-US" w:eastAsia="zh-CN"/>
        </w:rPr>
        <w:t xml:space="preserve"> 国家鼓励职业学校聘请技能大师、劳动模范、能工巧匠、非物质文化遗产代表性传承人等高技能人才，通过担任专职或者兼职专业课教师、设立工作室等方式，参与人才培养、技术开发、技能传承等工作。</w:t>
      </w:r>
    </w:p>
    <w:p w14:paraId="3C511935">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第四十八条</w:t>
      </w:r>
      <w:r>
        <w:rPr>
          <w:rFonts w:hint="eastAsia" w:ascii="仿宋_GB2312" w:hAnsi="仿宋_GB2312" w:eastAsia="仿宋_GB2312" w:cs="仿宋_GB2312"/>
          <w:sz w:val="30"/>
          <w:szCs w:val="30"/>
          <w:lang w:val="en-US" w:eastAsia="zh-CN"/>
        </w:rPr>
        <w:t xml:space="preserve"> 国家制定职业学校教职工配备基本标准。省、自治区、直辖市应当根据基本标准，制定本地区职业学校教职工配备标准。</w:t>
      </w:r>
    </w:p>
    <w:p w14:paraId="1AA96693">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县级以上地方人民政府应当根据教职工配备标准、办学规模等，确定公办职业学校教职工人员规模，其中一定比例可以用于支持职业学校面向社会公开招聘专业技术人员、技能人才担任专职或者兼职教师。</w:t>
      </w:r>
    </w:p>
    <w:p w14:paraId="331C19D7">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第四十九条</w:t>
      </w:r>
      <w:r>
        <w:rPr>
          <w:rFonts w:hint="eastAsia" w:ascii="仿宋_GB2312" w:hAnsi="仿宋_GB2312" w:eastAsia="仿宋_GB2312" w:cs="仿宋_GB2312"/>
          <w:sz w:val="30"/>
          <w:szCs w:val="30"/>
          <w:lang w:val="en-US" w:eastAsia="zh-CN"/>
        </w:rPr>
        <w:t xml:space="preserve"> 职业学校学生应当遵守法律、法规和学生行为规范，养成良好的职业道德、职业精神和行为习惯，努力学习，完成规定的学习任务，按照要求参加实习实训，掌握技术技能。</w:t>
      </w:r>
    </w:p>
    <w:p w14:paraId="2497A799">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职业学校学生的合法权益，受法律保护。</w:t>
      </w:r>
    </w:p>
    <w:p w14:paraId="7F3C21F9">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第五十条</w:t>
      </w:r>
      <w:r>
        <w:rPr>
          <w:rFonts w:hint="eastAsia" w:ascii="仿宋_GB2312" w:hAnsi="仿宋_GB2312" w:eastAsia="仿宋_GB2312" w:cs="仿宋_GB2312"/>
          <w:sz w:val="30"/>
          <w:szCs w:val="30"/>
          <w:lang w:val="en-US" w:eastAsia="zh-CN"/>
        </w:rPr>
        <w:t xml:space="preserve"> 国家鼓励企业、事业单位安排实习岗位，接纳职业学校和职业培训机构的学生实习。接纳实习的单位应当保障学生在实习期间按照规定享受休息休假、获得劳动安全卫生保护、参加相关保险、接受职业技能指导等权利；对上岗实习的，应当签订实习协议，给予适当的劳动报酬。</w:t>
      </w:r>
    </w:p>
    <w:p w14:paraId="30919E0F">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职业学校和职业培训机构应当加强对实习实训学生的指导，加强安全生产教育，协商实习单位安排与学生所学专业相匹配的岗位，明确实习实训内容和标准，不得安排学生从事与所学专业无关的实习实训，不得违反相关规定通过人力资源服务机构、劳务派遣单位，或者通过非法从事人力资源服务、劳务派遣业务的单位或个人组织、安排、管理学生实习实训。</w:t>
      </w:r>
    </w:p>
    <w:p w14:paraId="014FC1FB">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第五十一条</w:t>
      </w:r>
      <w:r>
        <w:rPr>
          <w:rFonts w:hint="eastAsia" w:ascii="仿宋_GB2312" w:hAnsi="仿宋_GB2312" w:eastAsia="仿宋_GB2312" w:cs="仿宋_GB2312"/>
          <w:sz w:val="30"/>
          <w:szCs w:val="30"/>
          <w:lang w:val="en-US" w:eastAsia="zh-CN"/>
        </w:rPr>
        <w:t xml:space="preserve"> 接受职业学校教育，达到相应学业要求，经学校考核合格的，取得相应的学业证书；接受职业培训，经职业培训机构或者职业学校考核合格的，取得相应的培训证书；经符合国家规定的专门机构考核合格的，取得相应的职业资格证书或者职业技能等级证书。</w:t>
      </w:r>
    </w:p>
    <w:p w14:paraId="6B747251">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学业证书、培训证书、职业资格证书和职业技能等级证书，按照国家有关规定，作为受教育者从业的凭证。</w:t>
      </w:r>
    </w:p>
    <w:p w14:paraId="0FCFE3AC">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接受职业培训取得的职业技能等级证书、培训证书等学习成果，经职业学校认定，可以转化为相应的学历教育学分；达到相应职业学校学业要求的，可以取得相应的学业证书。</w:t>
      </w:r>
    </w:p>
    <w:p w14:paraId="2788296F">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接受高等职业学校教育，学业水平达到国家规定的学位标准的，可以依法申请相应学位。</w:t>
      </w:r>
    </w:p>
    <w:p w14:paraId="21B79A4F">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第五十二条</w:t>
      </w:r>
      <w:r>
        <w:rPr>
          <w:rFonts w:hint="eastAsia" w:ascii="仿宋_GB2312" w:hAnsi="仿宋_GB2312" w:eastAsia="仿宋_GB2312" w:cs="仿宋_GB2312"/>
          <w:sz w:val="30"/>
          <w:szCs w:val="30"/>
          <w:lang w:val="en-US" w:eastAsia="zh-CN"/>
        </w:rPr>
        <w:t xml:space="preserve"> 国家建立对职业学校学生的奖励和资助制度，对特别优秀的学生进行奖励，对经济困难的学生提供资助，并向艰苦、特殊行业等专业学生适当倾斜。国家根据经济社会发展情况适时调整奖励和资助标准。</w:t>
      </w:r>
    </w:p>
    <w:p w14:paraId="39A2CEB5">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国家支持企业、事业单位、社会组织及公民个人按照国家有关规定设立职业教育奖学金、助学金，奖励优秀学生，资助经济困难的学生。</w:t>
      </w:r>
    </w:p>
    <w:p w14:paraId="01C72616">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职业学校应当按照国家有关规定从事业收入或者学费收入中提取一定比例资金，用于奖励和资助学生。</w:t>
      </w:r>
    </w:p>
    <w:p w14:paraId="0969FF10">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省、自治区、直辖市人民政府有关部门应当完善职业学校资助资金管理制度，规范资助资金管理使用。</w:t>
      </w:r>
    </w:p>
    <w:p w14:paraId="77546B11">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第五十三条</w:t>
      </w:r>
      <w:r>
        <w:rPr>
          <w:rFonts w:hint="eastAsia" w:ascii="仿宋_GB2312" w:hAnsi="仿宋_GB2312" w:eastAsia="仿宋_GB2312" w:cs="仿宋_GB2312"/>
          <w:sz w:val="30"/>
          <w:szCs w:val="30"/>
          <w:lang w:val="en-US" w:eastAsia="zh-CN"/>
        </w:rPr>
        <w:t xml:space="preserve"> 职业学校学生在升学、就业、职业发展等方面与同层次普通学校学生享有平等机会。</w:t>
      </w:r>
    </w:p>
    <w:p w14:paraId="4312D78E">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高等职业学校和实施职业教育的普通高等学校应当在招生计划中确定相应比例或者采取单独考试办法，专门招收职业学校毕业生。</w:t>
      </w:r>
    </w:p>
    <w:p w14:paraId="790CC7EC">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各级人民政府应当创造公平就业环境。用人单位不得设置妨碍职业学校毕业生平等就业、公平竞争的报考、录用、聘用条件。机关、事业单位、国有企业在招录、招聘技术技能岗位人员时，应当明确技术技能要求，将技术技能水平作为录用、聘用的重要条件。事业单位公开招聘中有职业技能等级要求的岗位，可以适当降低学历要求。</w:t>
      </w:r>
    </w:p>
    <w:p w14:paraId="064AEFDE">
      <w:pPr>
        <w:bidi w:val="0"/>
        <w:ind w:left="0" w:leftChars="0" w:firstLine="0" w:firstLineChars="0"/>
        <w:jc w:val="center"/>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第六章 职业教育的保障</w:t>
      </w:r>
    </w:p>
    <w:p w14:paraId="1A90FC41">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第五十四条</w:t>
      </w:r>
      <w:r>
        <w:rPr>
          <w:rFonts w:hint="eastAsia" w:ascii="仿宋_GB2312" w:hAnsi="仿宋_GB2312" w:eastAsia="仿宋_GB2312" w:cs="仿宋_GB2312"/>
          <w:sz w:val="30"/>
          <w:szCs w:val="30"/>
          <w:lang w:val="en-US" w:eastAsia="zh-CN"/>
        </w:rPr>
        <w:t xml:space="preserve"> 国家优化教育经费支出结构，使职业教育经费投入与职业教育发展需求相适应，鼓励通过多种渠道依法筹集发展职业教育的资金。</w:t>
      </w:r>
    </w:p>
    <w:p w14:paraId="620B53E5">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第五十五条</w:t>
      </w:r>
      <w:r>
        <w:rPr>
          <w:rFonts w:hint="eastAsia" w:ascii="仿宋_GB2312" w:hAnsi="仿宋_GB2312" w:eastAsia="仿宋_GB2312" w:cs="仿宋_GB2312"/>
          <w:sz w:val="30"/>
          <w:szCs w:val="30"/>
          <w:lang w:val="en-US" w:eastAsia="zh-CN"/>
        </w:rPr>
        <w:t xml:space="preserve"> 各级人民政府应当按照事权和支出责任相适应的原则，根据职业教育办学规模、培养成本和办学质量等落实职业教育经费，并加强预算绩效管理，提高资金使用效益。</w:t>
      </w:r>
    </w:p>
    <w:p w14:paraId="1562C97A">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省、自治区、直辖市人民政府应当制定本地区职业学校生均经费标准或者公用经费标准。职业学校举办者应当按照生均经费标准或者公用经费标准按时、足额拨付经费，不断改善办学条件。不得以学费、社会服务收入冲抵生均拨款。</w:t>
      </w:r>
    </w:p>
    <w:p w14:paraId="392BC5A3">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民办职业学校举办者应当参照同层次职业学校生均经费标准，通过多种渠道筹措经费。</w:t>
      </w:r>
    </w:p>
    <w:p w14:paraId="0CD0BDDE">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财政专项安排、社会捐赠指定用于职业教育的经费，任何组织和个人不得挪用、克扣。</w:t>
      </w:r>
    </w:p>
    <w:p w14:paraId="2E645712">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第五十六条</w:t>
      </w:r>
      <w:r>
        <w:rPr>
          <w:rFonts w:hint="eastAsia" w:ascii="仿宋_GB2312" w:hAnsi="仿宋_GB2312" w:eastAsia="仿宋_GB2312" w:cs="仿宋_GB2312"/>
          <w:sz w:val="30"/>
          <w:szCs w:val="30"/>
          <w:lang w:val="en-US" w:eastAsia="zh-CN"/>
        </w:rPr>
        <w:t xml:space="preserve"> 地方各级人民政府安排地方教育附加等方面的经费，应当将其中可用于职业教育的资金统筹使用；发挥失业保险基金作用，支持职工提升职业技能。</w:t>
      </w:r>
    </w:p>
    <w:p w14:paraId="0407F878">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第五十七条</w:t>
      </w:r>
      <w:r>
        <w:rPr>
          <w:rFonts w:hint="eastAsia" w:ascii="仿宋_GB2312" w:hAnsi="仿宋_GB2312" w:eastAsia="仿宋_GB2312" w:cs="仿宋_GB2312"/>
          <w:sz w:val="30"/>
          <w:szCs w:val="30"/>
          <w:lang w:val="en-US" w:eastAsia="zh-CN"/>
        </w:rPr>
        <w:t xml:space="preserve"> 各级人民政府加大面向农村的职业教育投入，可以将农村科学技术开发、技术推广的经费适当用于农村职业培训。</w:t>
      </w:r>
    </w:p>
    <w:p w14:paraId="612D705D">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第五十八条</w:t>
      </w:r>
      <w:r>
        <w:rPr>
          <w:rFonts w:hint="eastAsia" w:ascii="仿宋_GB2312" w:hAnsi="仿宋_GB2312" w:eastAsia="仿宋_GB2312" w:cs="仿宋_GB2312"/>
          <w:sz w:val="30"/>
          <w:szCs w:val="30"/>
          <w:lang w:val="en-US" w:eastAsia="zh-CN"/>
        </w:rPr>
        <w:t xml:space="preserve"> 企业应当根据国务院规定的标准，按照职工工资总额一定比例提取和使用职工教育经费。职工教育经费可以用于举办职业教育机构、对本单位的职工和准备招用人员进行职业教育等合理用途，其中用于企业一线职工职业教育的经费应当达到国家规定的比例。用人单位安排职工到职业学校或者职业培训机构接受职业教育的，应当在其接受职业教育期间依法支付工资，保障相关待遇。</w:t>
      </w:r>
    </w:p>
    <w:p w14:paraId="5ABAD6E9">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企业设立具备生产与教学功能的产教融合实习实训基地所发生的费用，可以参照职业学校享受相应的用地、公用事业费等优惠。</w:t>
      </w:r>
    </w:p>
    <w:p w14:paraId="2DC82859">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第五十九条</w:t>
      </w:r>
      <w:r>
        <w:rPr>
          <w:rFonts w:hint="eastAsia" w:ascii="仿宋_GB2312" w:hAnsi="仿宋_GB2312" w:eastAsia="仿宋_GB2312" w:cs="仿宋_GB2312"/>
          <w:sz w:val="30"/>
          <w:szCs w:val="30"/>
          <w:lang w:val="en-US" w:eastAsia="zh-CN"/>
        </w:rPr>
        <w:t xml:space="preserve"> 国家鼓励金融机构通过提供金融服务支持发展职业教育。</w:t>
      </w:r>
    </w:p>
    <w:p w14:paraId="0571AF94">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第六十条</w:t>
      </w:r>
      <w:r>
        <w:rPr>
          <w:rFonts w:hint="eastAsia" w:ascii="仿宋_GB2312" w:hAnsi="仿宋_GB2312" w:eastAsia="仿宋_GB2312" w:cs="仿宋_GB2312"/>
          <w:sz w:val="30"/>
          <w:szCs w:val="30"/>
          <w:lang w:val="en-US" w:eastAsia="zh-CN"/>
        </w:rPr>
        <w:t xml:space="preserve"> 国家鼓励企业、事业单位、社会组织及公民个人对职业教育捐资助学，鼓励境外的组织和个人对职业教育提供资助和捐赠。提供的资助和捐赠，必须用于职业教育。</w:t>
      </w:r>
    </w:p>
    <w:p w14:paraId="06FDF36F">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第六十一条</w:t>
      </w:r>
      <w:r>
        <w:rPr>
          <w:rFonts w:hint="eastAsia" w:ascii="仿宋_GB2312" w:hAnsi="仿宋_GB2312" w:eastAsia="仿宋_GB2312" w:cs="仿宋_GB2312"/>
          <w:sz w:val="30"/>
          <w:szCs w:val="30"/>
          <w:lang w:val="en-US" w:eastAsia="zh-CN"/>
        </w:rPr>
        <w:t xml:space="preserve"> 国家鼓励和支持开展职业教育的科学技术研究、教材和教学资源开发，推进职业教育资源跨区域、跨行业、跨部门共建共享。</w:t>
      </w:r>
    </w:p>
    <w:p w14:paraId="7B0F5269">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国家逐步建立反映职业教育特点和功能的信息统计和管理体系。</w:t>
      </w:r>
    </w:p>
    <w:p w14:paraId="4136B39B">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县级以上人民政府及其有关部门应当建立健全职业教育服务和保障体系，组织、引导工会等群团组织、行业组织、企业、学校等开展职业教育研究、宣传推广、人才供需对接等活动。</w:t>
      </w:r>
    </w:p>
    <w:p w14:paraId="110DFFC9">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第六十二条</w:t>
      </w:r>
      <w:r>
        <w:rPr>
          <w:rFonts w:hint="eastAsia" w:ascii="仿宋_GB2312" w:hAnsi="仿宋_GB2312" w:eastAsia="仿宋_GB2312" w:cs="仿宋_GB2312"/>
          <w:sz w:val="30"/>
          <w:szCs w:val="30"/>
          <w:lang w:val="en-US" w:eastAsia="zh-CN"/>
        </w:rPr>
        <w:t xml:space="preserve"> 新闻媒体和职业教育有关方面应当积极开展职业教育公益宣传，弘扬技术技能人才成长成才典型事迹，营造人人努力成才、人人皆可成才、人人尽展其才的良好社会氛围。</w:t>
      </w:r>
    </w:p>
    <w:p w14:paraId="160664A5">
      <w:pPr>
        <w:bidi w:val="0"/>
        <w:ind w:left="0" w:leftChars="0" w:firstLine="0" w:firstLineChars="0"/>
        <w:jc w:val="center"/>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第七章 法律责任</w:t>
      </w:r>
    </w:p>
    <w:p w14:paraId="68ACCE13">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第六十三条</w:t>
      </w:r>
      <w:r>
        <w:rPr>
          <w:rFonts w:hint="eastAsia" w:ascii="仿宋_GB2312" w:hAnsi="仿宋_GB2312" w:eastAsia="仿宋_GB2312" w:cs="仿宋_GB2312"/>
          <w:sz w:val="30"/>
          <w:szCs w:val="30"/>
          <w:lang w:val="en-US" w:eastAsia="zh-CN"/>
        </w:rPr>
        <w:t xml:space="preserve"> 在职业教育活动中违反《中华人民共和国教育法》、《中华人民共和国劳动法》等有关法律规定的，依照有关法律的规定给予处罚。</w:t>
      </w:r>
    </w:p>
    <w:p w14:paraId="12BEDEE9">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第六十四条</w:t>
      </w:r>
      <w:r>
        <w:rPr>
          <w:rFonts w:hint="eastAsia" w:ascii="仿宋_GB2312" w:hAnsi="仿宋_GB2312" w:eastAsia="仿宋_GB2312" w:cs="仿宋_GB2312"/>
          <w:sz w:val="30"/>
          <w:szCs w:val="30"/>
          <w:lang w:val="en-US" w:eastAsia="zh-CN"/>
        </w:rPr>
        <w:t xml:space="preserve"> 企业未依照本法规定对本单位的职工和准备招用的人员实施职业教育、提取和使用职工教育经费的，由有关部门责令改正；拒不改正的，由县级以上人民政府收取其应当承担的职工教育经费，用于职业教育。</w:t>
      </w:r>
    </w:p>
    <w:p w14:paraId="0FFB1F25">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第六十五条</w:t>
      </w:r>
      <w:r>
        <w:rPr>
          <w:rFonts w:hint="eastAsia" w:ascii="仿宋_GB2312" w:hAnsi="仿宋_GB2312" w:eastAsia="仿宋_GB2312" w:cs="仿宋_GB2312"/>
          <w:sz w:val="30"/>
          <w:szCs w:val="30"/>
          <w:lang w:val="en-US" w:eastAsia="zh-CN"/>
        </w:rPr>
        <w:t xml:space="preserve"> 职业学校、职业培训机构在职业教育活动中违反本法规定的，由教育行政部门或者其他有关部门责令改正；教育教学质量低下或者管理混乱，造成严重后果的，责令暂停招生、限期整顿；逾期不整顿或者经整顿仍达不到要求的，吊销办学许可证或者责令停止办学。</w:t>
      </w:r>
    </w:p>
    <w:p w14:paraId="2637D68D">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第六十六条</w:t>
      </w:r>
      <w:r>
        <w:rPr>
          <w:rFonts w:hint="eastAsia" w:ascii="仿宋_GB2312" w:hAnsi="仿宋_GB2312" w:eastAsia="仿宋_GB2312" w:cs="仿宋_GB2312"/>
          <w:sz w:val="30"/>
          <w:szCs w:val="30"/>
          <w:lang w:val="en-US" w:eastAsia="zh-CN"/>
        </w:rPr>
        <w:t xml:space="preserve"> 接纳职业学校和职业培训机构学生实习的单位违反本法规定，侵害学生休息休假、获得劳动安全卫生保护、参加相关保险、接受职业技能指导等权利的，依法承担相应的法律责任。</w:t>
      </w:r>
    </w:p>
    <w:p w14:paraId="038EE361">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职业学校、职业培训机构违反本法规定，通过人力资源服务机构、劳务派遣单位或者非法从事人力资源服务、劳务派遣业务的单位或个人组织、安排、管理学生实习实训的，由教育行政部门、人力资源社会保障行政部门或者其他有关部门责令改正，没收违法所得，并处违法所得一倍以上五倍以下的罚款；违法所得不足一万元的，按一万元计算。</w:t>
      </w:r>
    </w:p>
    <w:p w14:paraId="40A196E9">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对前款规定的人力资源服务机构、劳务派遣单位或者非法从事人力资源服务、劳务派遣业务的单位或个人，由人力资源社会保障行政部门或者其他有关部门责令改正，没收违法所得，并处违法所得一倍以上五倍以下的罚款；违法所得不足一万元的，按一万元计算。</w:t>
      </w:r>
    </w:p>
    <w:p w14:paraId="03533099">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第六十七条</w:t>
      </w:r>
      <w:r>
        <w:rPr>
          <w:rFonts w:hint="eastAsia" w:ascii="仿宋_GB2312" w:hAnsi="仿宋_GB2312" w:eastAsia="仿宋_GB2312" w:cs="仿宋_GB2312"/>
          <w:sz w:val="30"/>
          <w:szCs w:val="30"/>
          <w:lang w:val="en-US" w:eastAsia="zh-CN"/>
        </w:rPr>
        <w:t xml:space="preserve"> 教育行政部门、人力资源社会保障行政部门或者其他有关部门的工作人员违反本法规定，滥用职权、玩忽职守、徇私舞弊的，依法给予处分；构成犯罪的，依法追究刑事责任。</w:t>
      </w:r>
    </w:p>
    <w:p w14:paraId="3779E209">
      <w:pPr>
        <w:bidi w:val="0"/>
        <w:ind w:left="0" w:leftChars="0" w:firstLine="0" w:firstLineChars="0"/>
        <w:jc w:val="center"/>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第八章 附  则</w:t>
      </w:r>
    </w:p>
    <w:p w14:paraId="7FEABD62">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b/>
          <w:bCs/>
          <w:sz w:val="30"/>
          <w:szCs w:val="30"/>
          <w:lang w:val="en-US" w:eastAsia="zh-CN"/>
        </w:rPr>
        <w:t>第六十八条</w:t>
      </w:r>
      <w:r>
        <w:rPr>
          <w:rFonts w:hint="eastAsia" w:ascii="仿宋_GB2312" w:hAnsi="仿宋_GB2312" w:eastAsia="仿宋_GB2312" w:cs="仿宋_GB2312"/>
          <w:sz w:val="30"/>
          <w:szCs w:val="30"/>
          <w:lang w:val="en-US" w:eastAsia="zh-CN"/>
        </w:rPr>
        <w:t xml:space="preserve"> 境外的组织和个人在境内举办职业学校、职业培训机构，适用本法；法律、行政法规另有规定的，从其规定。</w:t>
      </w:r>
    </w:p>
    <w:p w14:paraId="52A75D68">
      <w:pPr>
        <w:keepNext w:val="0"/>
        <w:keepLines w:val="0"/>
        <w:pageBreakBefore w:val="0"/>
        <w:widowControl w:val="0"/>
        <w:kinsoku/>
        <w:wordWrap/>
        <w:overflowPunct/>
        <w:topLinePunct w:val="0"/>
        <w:autoSpaceDE/>
        <w:autoSpaceDN/>
        <w:bidi w:val="0"/>
        <w:adjustRightInd w:val="0"/>
        <w:snapToGrid w:val="0"/>
        <w:spacing w:line="540" w:lineRule="atLeast"/>
        <w:textAlignment w:val="auto"/>
        <w:rPr>
          <w:rFonts w:hint="eastAsia"/>
          <w:lang w:val="en-US" w:eastAsia="zh-CN"/>
        </w:rPr>
      </w:pPr>
      <w:r>
        <w:rPr>
          <w:rFonts w:hint="eastAsia" w:ascii="仿宋_GB2312" w:hAnsi="仿宋_GB2312" w:eastAsia="仿宋_GB2312" w:cs="仿宋_GB2312"/>
          <w:b/>
          <w:bCs/>
          <w:sz w:val="30"/>
          <w:szCs w:val="30"/>
          <w:lang w:val="en-US" w:eastAsia="zh-CN"/>
        </w:rPr>
        <w:t>第六十九条</w:t>
      </w:r>
      <w:r>
        <w:rPr>
          <w:rFonts w:hint="eastAsia" w:ascii="仿宋_GB2312" w:hAnsi="仿宋_GB2312" w:eastAsia="仿宋_GB2312" w:cs="仿宋_GB2312"/>
          <w:sz w:val="30"/>
          <w:szCs w:val="30"/>
          <w:lang w:val="en-US" w:eastAsia="zh-CN"/>
        </w:rPr>
        <w:t xml:space="preserve"> 本法自2022年5月1日起施行。</w:t>
      </w:r>
    </w:p>
    <w:p w14:paraId="46C37FD1">
      <w:pPr>
        <w:keepNext w:val="0"/>
        <w:keepLines w:val="0"/>
        <w:pageBreakBefore w:val="0"/>
        <w:widowControl w:val="0"/>
        <w:kinsoku/>
        <w:wordWrap/>
        <w:overflowPunct/>
        <w:topLinePunct w:val="0"/>
        <w:autoSpaceDE/>
        <w:autoSpaceDN/>
        <w:bidi w:val="0"/>
        <w:adjustRightInd w:val="0"/>
        <w:snapToGrid w:val="0"/>
        <w:spacing w:line="540" w:lineRule="exact"/>
        <w:ind w:left="5394" w:leftChars="1712" w:hanging="600" w:hangingChars="200"/>
        <w:textAlignment w:val="auto"/>
        <w:rPr>
          <w:rFonts w:hint="eastAsia" w:ascii="仿宋_GB2312" w:hAnsi="仿宋_GB2312" w:eastAsia="仿宋_GB2312" w:cs="仿宋_GB2312"/>
          <w:sz w:val="30"/>
          <w:szCs w:val="30"/>
          <w:lang w:val="en-US" w:eastAsia="zh-CN"/>
        </w:rPr>
      </w:pPr>
    </w:p>
    <w:sectPr>
      <w:footerReference r:id="rId6" w:type="default"/>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60"/>
      </w:pPr>
      <w:r>
        <w:separator/>
      </w:r>
    </w:p>
  </w:endnote>
  <w:endnote w:type="continuationSeparator" w:id="1">
    <w:p>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E4002EFF" w:usb1="C000247B" w:usb2="00000009" w:usb3="00000000" w:csb0="200001FF" w:csb1="00000000"/>
  </w:font>
  <w:font w:name="方正风雅楷宋简体 Medium">
    <w:panose1 w:val="02000600000000000000"/>
    <w:charset w:val="86"/>
    <w:family w:val="auto"/>
    <w:pitch w:val="default"/>
    <w:sig w:usb0="A00002BF" w:usb1="184F6CFA" w:usb2="00000012" w:usb3="00000000" w:csb0="00040001" w:csb1="00000000"/>
  </w:font>
  <w:font w:name="方正仿宋_GB2312">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公文小标宋">
    <w:panose1 w:val="02000500000000000000"/>
    <w:charset w:val="86"/>
    <w:family w:val="auto"/>
    <w:pitch w:val="default"/>
    <w:sig w:usb0="A00002BF" w:usb1="38CF7CFA" w:usb2="00000016" w:usb3="00000000" w:csb0="00040001" w:csb1="00000000"/>
  </w:font>
  <w:font w:name="方正小标宋简体">
    <w:panose1 w:val="0201060001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ACF5EE">
    <w:pPr>
      <w:pStyle w:val="8"/>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D47E22">
                          <w:pPr>
                            <w:pStyle w:val="8"/>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11D47E22">
                    <w:pPr>
                      <w:pStyle w:val="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B5536E">
    <w:pPr>
      <w:pStyle w:val="8"/>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0ADDC9E">
                          <w:pPr>
                            <w:pStyle w:val="8"/>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JL6ScgBAACZ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SS+knIAQAAmQMAAA4AAAAAAAAAAQAgAAAAHgEAAGRycy9lMm9Eb2Mu&#10;eG1sUEsFBgAAAAAGAAYAWQEAAFgFAAAAAA==&#10;">
              <v:fill on="f" focussize="0,0"/>
              <v:stroke on="f"/>
              <v:imagedata o:title=""/>
              <o:lock v:ext="edit" aspectratio="f"/>
              <v:textbox inset="0mm,0mm,0mm,0mm" style="mso-fit-shape-to-text:t;">
                <w:txbxContent>
                  <w:p w14:paraId="50ADDC9E">
                    <w:pPr>
                      <w:pStyle w:val="8"/>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560"/>
      </w:pPr>
      <w:r>
        <w:separator/>
      </w:r>
    </w:p>
  </w:footnote>
  <w:footnote w:type="continuationSeparator" w:id="1">
    <w:p>
      <w:pPr>
        <w:ind w:firstLine="56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0561EC"/>
    <w:multiLevelType w:val="singleLevel"/>
    <w:tmpl w:val="620561EC"/>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2530ED"/>
    <w:rsid w:val="093A28C5"/>
    <w:rsid w:val="0A8002B7"/>
    <w:rsid w:val="0AFB14F8"/>
    <w:rsid w:val="0DBD4CF1"/>
    <w:rsid w:val="11853748"/>
    <w:rsid w:val="12A65A60"/>
    <w:rsid w:val="13285B9D"/>
    <w:rsid w:val="14904AC9"/>
    <w:rsid w:val="166B46E6"/>
    <w:rsid w:val="18EB00DC"/>
    <w:rsid w:val="1BFC0F69"/>
    <w:rsid w:val="26F121C7"/>
    <w:rsid w:val="277B7B31"/>
    <w:rsid w:val="2D3C3F23"/>
    <w:rsid w:val="32E650A8"/>
    <w:rsid w:val="3A257617"/>
    <w:rsid w:val="3EDD5D5C"/>
    <w:rsid w:val="40A9301A"/>
    <w:rsid w:val="43071DF8"/>
    <w:rsid w:val="45DE01FB"/>
    <w:rsid w:val="47F360FB"/>
    <w:rsid w:val="48FA630A"/>
    <w:rsid w:val="4AC64DCE"/>
    <w:rsid w:val="4C793A33"/>
    <w:rsid w:val="51404C2B"/>
    <w:rsid w:val="55302CD1"/>
    <w:rsid w:val="5742311B"/>
    <w:rsid w:val="578C0BCA"/>
    <w:rsid w:val="57EF1A0E"/>
    <w:rsid w:val="5A2A1301"/>
    <w:rsid w:val="609D1752"/>
    <w:rsid w:val="60AC2319"/>
    <w:rsid w:val="647C2C65"/>
    <w:rsid w:val="66992DD5"/>
    <w:rsid w:val="67E67E83"/>
    <w:rsid w:val="6A215319"/>
    <w:rsid w:val="6AF9611F"/>
    <w:rsid w:val="6D535C20"/>
    <w:rsid w:val="6ED22F0F"/>
    <w:rsid w:val="73CC6DDE"/>
    <w:rsid w:val="7C235C41"/>
    <w:rsid w:val="7F1E2E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ind w:firstLine="600" w:firstLineChars="200"/>
      <w:jc w:val="both"/>
    </w:pPr>
    <w:rPr>
      <w:rFonts w:ascii="Times New Roman" w:hAnsi="Times New Roman" w:eastAsia="仿宋" w:cs="Times New Roman"/>
      <w:kern w:val="2"/>
      <w:sz w:val="28"/>
      <w:szCs w:val="24"/>
      <w:lang w:val="en-US" w:eastAsia="zh-CN" w:bidi="ar-SA"/>
    </w:rPr>
  </w:style>
  <w:style w:type="paragraph" w:styleId="2">
    <w:name w:val="heading 1"/>
    <w:basedOn w:val="1"/>
    <w:next w:val="1"/>
    <w:qFormat/>
    <w:uiPriority w:val="0"/>
    <w:pPr>
      <w:keepNext/>
      <w:keepLines/>
      <w:spacing w:beforeLines="0" w:beforeAutospacing="0" w:afterLines="0" w:afterAutospacing="0" w:line="540" w:lineRule="exact"/>
      <w:jc w:val="left"/>
      <w:outlineLvl w:val="0"/>
    </w:pPr>
    <w:rPr>
      <w:rFonts w:ascii="Times New Roman" w:hAnsi="Times New Roman" w:eastAsia="黑体"/>
      <w:kern w:val="44"/>
      <w:sz w:val="32"/>
    </w:rPr>
  </w:style>
  <w:style w:type="paragraph" w:styleId="3">
    <w:name w:val="heading 2"/>
    <w:basedOn w:val="1"/>
    <w:next w:val="1"/>
    <w:link w:val="16"/>
    <w:unhideWhenUsed/>
    <w:qFormat/>
    <w:uiPriority w:val="0"/>
    <w:pPr>
      <w:keepNext/>
      <w:keepLines/>
      <w:adjustRightInd w:val="0"/>
      <w:snapToGrid w:val="0"/>
      <w:spacing w:line="600" w:lineRule="exact"/>
      <w:ind w:left="0" w:leftChars="0" w:rightChars="0" w:firstLine="560" w:firstLineChars="200"/>
      <w:jc w:val="center"/>
      <w:outlineLvl w:val="1"/>
    </w:pPr>
    <w:rPr>
      <w:rFonts w:ascii="Times New Roman" w:hAnsi="Times New Roman" w:eastAsia="楷体_GB2312"/>
      <w:bCs/>
      <w:sz w:val="30"/>
      <w:szCs w:val="32"/>
    </w:rPr>
  </w:style>
  <w:style w:type="paragraph" w:styleId="4">
    <w:name w:val="heading 3"/>
    <w:basedOn w:val="1"/>
    <w:next w:val="1"/>
    <w:link w:val="14"/>
    <w:unhideWhenUsed/>
    <w:qFormat/>
    <w:uiPriority w:val="0"/>
    <w:pPr>
      <w:spacing w:beforeAutospacing="0" w:afterAutospacing="0"/>
      <w:jc w:val="left"/>
      <w:outlineLvl w:val="2"/>
    </w:pPr>
    <w:rPr>
      <w:rFonts w:eastAsia="黑体" w:cs="宋体"/>
      <w:kern w:val="0"/>
      <w:sz w:val="30"/>
      <w:szCs w:val="28"/>
    </w:rPr>
  </w:style>
  <w:style w:type="paragraph" w:styleId="5">
    <w:name w:val="heading 4"/>
    <w:basedOn w:val="1"/>
    <w:next w:val="1"/>
    <w:link w:val="15"/>
    <w:unhideWhenUsed/>
    <w:qFormat/>
    <w:uiPriority w:val="0"/>
    <w:pPr>
      <w:keepNext/>
      <w:keepLines/>
      <w:spacing w:line="240" w:lineRule="auto"/>
      <w:jc w:val="left"/>
      <w:outlineLvl w:val="3"/>
    </w:pPr>
    <w:rPr>
      <w:rFonts w:eastAsia="楷体"/>
      <w:b/>
      <w:szCs w:val="28"/>
    </w:rPr>
  </w:style>
  <w:style w:type="paragraph" w:styleId="6">
    <w:name w:val="heading 5"/>
    <w:next w:val="1"/>
    <w:unhideWhenUsed/>
    <w:qFormat/>
    <w:uiPriority w:val="0"/>
    <w:pPr>
      <w:keepNext/>
      <w:keepLines/>
      <w:widowControl w:val="0"/>
      <w:adjustRightInd w:val="0"/>
      <w:snapToGrid w:val="0"/>
      <w:spacing w:line="240" w:lineRule="auto"/>
      <w:ind w:firstLine="600" w:firstLineChars="200"/>
      <w:jc w:val="left"/>
      <w:outlineLvl w:val="4"/>
    </w:pPr>
    <w:rPr>
      <w:rFonts w:ascii="Times New Roman" w:hAnsi="Times New Roman" w:eastAsia="楷体" w:cs="Times New Roman"/>
      <w:b/>
      <w:bCs/>
      <w:kern w:val="2"/>
      <w:sz w:val="28"/>
      <w:szCs w:val="28"/>
      <w:lang w:val="en-US" w:eastAsia="zh-CN" w:bidi="ar-SA"/>
    </w:rPr>
  </w:style>
  <w:style w:type="paragraph" w:styleId="7">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3">
    <w:name w:val="Default Paragraph Font"/>
    <w:semiHidden/>
    <w:uiPriority w:val="0"/>
  </w:style>
  <w:style w:type="table" w:default="1" w:styleId="12">
    <w:name w:val="Normal Table"/>
    <w:semiHidden/>
    <w:uiPriority w:val="0"/>
    <w:tblPr>
      <w:tblCellMar>
        <w:top w:w="0" w:type="dxa"/>
        <w:left w:w="108" w:type="dxa"/>
        <w:bottom w:w="0" w:type="dxa"/>
        <w:right w:w="108" w:type="dxa"/>
      </w:tblCellMar>
    </w:tblPr>
  </w:style>
  <w:style w:type="paragraph" w:styleId="8">
    <w:name w:val="footer"/>
    <w:basedOn w:val="1"/>
    <w:qFormat/>
    <w:uiPriority w:val="99"/>
    <w:pPr>
      <w:tabs>
        <w:tab w:val="center" w:pos="4153"/>
        <w:tab w:val="right" w:pos="8306"/>
      </w:tabs>
      <w:snapToGrid w:val="0"/>
      <w:jc w:val="left"/>
    </w:pPr>
    <w:rPr>
      <w:sz w:val="18"/>
      <w:szCs w:val="18"/>
    </w:rPr>
  </w:style>
  <w:style w:type="paragraph" w:styleId="9">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uiPriority w:val="0"/>
  </w:style>
  <w:style w:type="paragraph" w:styleId="11">
    <w:name w:val="Normal (Web)"/>
    <w:basedOn w:val="1"/>
    <w:uiPriority w:val="0"/>
    <w:pPr>
      <w:spacing w:before="0" w:beforeAutospacing="1" w:after="0" w:afterAutospacing="1"/>
      <w:ind w:left="0" w:right="0"/>
      <w:jc w:val="left"/>
    </w:pPr>
    <w:rPr>
      <w:kern w:val="0"/>
      <w:sz w:val="24"/>
      <w:lang w:val="en-US" w:eastAsia="zh-CN" w:bidi="ar"/>
    </w:rPr>
  </w:style>
  <w:style w:type="character" w:customStyle="1" w:styleId="14">
    <w:name w:val="标题 3 字符"/>
    <w:link w:val="4"/>
    <w:qFormat/>
    <w:uiPriority w:val="0"/>
    <w:rPr>
      <w:rFonts w:eastAsia="黑体" w:cs="宋体"/>
      <w:kern w:val="0"/>
      <w:sz w:val="30"/>
      <w:szCs w:val="28"/>
    </w:rPr>
  </w:style>
  <w:style w:type="character" w:customStyle="1" w:styleId="15">
    <w:name w:val="标题 4 Char"/>
    <w:link w:val="5"/>
    <w:qFormat/>
    <w:uiPriority w:val="0"/>
    <w:rPr>
      <w:rFonts w:eastAsia="楷体"/>
      <w:b/>
      <w:szCs w:val="28"/>
    </w:rPr>
  </w:style>
  <w:style w:type="character" w:customStyle="1" w:styleId="16">
    <w:name w:val="标题 2 Char"/>
    <w:link w:val="3"/>
    <w:uiPriority w:val="0"/>
    <w:rPr>
      <w:rFonts w:ascii="Times New Roman" w:hAnsi="Times New Roman" w:eastAsia="楷体_GB2312"/>
      <w:bCs/>
      <w:sz w:val="30"/>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oleObject" Target="embeddings/oleObject1.bin"/><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149</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2025-07-15T07:28:51Z</dcterms:created>
  <dc:creator>Administrator</dc:creator>
  <cp:lastModifiedBy>七叶</cp:lastModifiedBy>
  <dcterms:modified xsi:type="dcterms:W3CDTF">2025-07-15T08:43:33Z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eyJoZGlkIjoiMjI5YWU3YjMwOGFkN2Q2YThjZDdjMDg2MGYxZGQ5NGUiLCJ1c2VySWQiOiI0MDk2NDA1NTEifQ==</vt:lpwstr>
  </property>
  <property fmtid="{D5CDD505-2E9C-101B-9397-08002B2CF9AE}" pid="4" name="ICV">
    <vt:lpwstr>1C295BAA4B994ED4BB57C7F9C6D05D7F_12</vt:lpwstr>
  </property>
</Properties>
</file>