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eastAsia="黑体"/>
          <w:b/>
          <w:sz w:val="52"/>
          <w:szCs w:val="52"/>
        </w:rPr>
        <w:t>电器及电气材料定点供应商采购项目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年6月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电器及电气材料定点供应商采购项目比选公告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电器及电气材料定点供应商采购项目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电器及电气材料定点供应商采购项目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color w:val="000000" w:themeColor="text1"/>
          <w:kern w:val="0"/>
          <w:sz w:val="24"/>
          <w14:textFill>
            <w14:solidFill>
              <w14:schemeClr w14:val="tx1"/>
            </w14:solidFill>
          </w14:textFill>
        </w:rPr>
        <w:t>：20</w:t>
      </w:r>
      <w:r>
        <w:rPr>
          <w:rFonts w:hint="eastAsia" w:ascii="宋体" w:hAnsi="宋体" w:cs="宋体"/>
          <w:kern w:val="0"/>
          <w:sz w:val="24"/>
        </w:rPr>
        <w:t>万元</w:t>
      </w:r>
      <w:bookmarkEnd w:id="1"/>
    </w:p>
    <w:p>
      <w:pPr>
        <w:pStyle w:val="81"/>
        <w:widowControl/>
        <w:numPr>
          <w:ilvl w:val="1"/>
          <w:numId w:val="1"/>
        </w:numPr>
        <w:spacing w:before="124" w:beforeLines="40" w:after="124" w:afterLines="40" w:line="360" w:lineRule="auto"/>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284"/>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报名时间：2024年</w:t>
      </w:r>
      <w:r>
        <w:rPr>
          <w:rFonts w:hint="eastAsia" w:ascii="宋体" w:hAnsi="宋体" w:cs="宋体"/>
          <w:kern w:val="0"/>
          <w:sz w:val="24"/>
        </w:rPr>
        <w:t>6月</w:t>
      </w:r>
      <w:r>
        <w:rPr>
          <w:rFonts w:hint="eastAsia" w:ascii="宋体" w:hAnsi="宋体" w:cs="宋体"/>
          <w:kern w:val="0"/>
          <w:sz w:val="24"/>
          <w:lang w:val="en-US" w:eastAsia="zh-CN"/>
        </w:rPr>
        <w:t>17</w:t>
      </w:r>
      <w:r>
        <w:rPr>
          <w:rFonts w:hint="eastAsia" w:ascii="宋体" w:hAnsi="宋体" w:cs="宋体"/>
          <w:kern w:val="0"/>
          <w:sz w:val="24"/>
        </w:rPr>
        <w:t>日至2024年6月</w:t>
      </w:r>
      <w:r>
        <w:rPr>
          <w:rFonts w:hint="eastAsia" w:ascii="宋体" w:hAnsi="宋体" w:cs="宋体"/>
          <w:kern w:val="0"/>
          <w:sz w:val="24"/>
          <w:lang w:val="en-US" w:eastAsia="zh-CN"/>
        </w:rPr>
        <w:t>21</w:t>
      </w:r>
      <w:r>
        <w:rPr>
          <w:rFonts w:hint="eastAsia" w:ascii="宋体" w:hAnsi="宋体" w:cs="宋体"/>
          <w:kern w:val="0"/>
          <w:sz w:val="24"/>
        </w:rPr>
        <w:t>日17：00止（工作日）</w:t>
      </w:r>
      <w:r>
        <w:rPr>
          <w:rFonts w:hint="eastAsia" w:ascii="宋体" w:hAnsi="宋体" w:cs="宋体"/>
          <w:color w:val="000000"/>
          <w:kern w:val="0"/>
          <w:sz w:val="24"/>
        </w:rPr>
        <w:t>；</w:t>
      </w:r>
      <w:bookmarkEnd w:id="3"/>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rPr>
        <w:t>6月</w:t>
      </w:r>
      <w:r>
        <w:rPr>
          <w:rFonts w:hint="eastAsia" w:ascii="宋体" w:hAnsi="宋体" w:cs="宋体"/>
          <w:kern w:val="0"/>
          <w:sz w:val="24"/>
          <w:lang w:val="en-US" w:eastAsia="zh-CN"/>
        </w:rPr>
        <w:t>24</w:t>
      </w:r>
      <w:r>
        <w:rPr>
          <w:rFonts w:hint="eastAsia" w:ascii="宋体" w:hAnsi="宋体" w:cs="宋体"/>
          <w:kern w:val="0"/>
          <w:sz w:val="24"/>
        </w:rPr>
        <w:t>日北京时间9:</w:t>
      </w:r>
      <w:r>
        <w:rPr>
          <w:rFonts w:hint="eastAsia" w:ascii="宋体" w:hAnsi="宋体" w:cs="宋体"/>
          <w:kern w:val="0"/>
          <w:sz w:val="24"/>
          <w:lang w:val="en-US" w:eastAsia="zh-CN"/>
        </w:rPr>
        <w:t>3</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2、响应文件递交截止时间（开标时间）：2024年6月</w:t>
      </w:r>
      <w:r>
        <w:rPr>
          <w:rFonts w:hint="eastAsia" w:ascii="宋体" w:hAnsi="宋体" w:cs="宋体"/>
          <w:kern w:val="0"/>
          <w:sz w:val="24"/>
          <w:lang w:val="en-US" w:eastAsia="zh-CN"/>
        </w:rPr>
        <w:t>24</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3</w:t>
      </w:r>
      <w:bookmarkStart w:id="14" w:name="_GoBack"/>
      <w:bookmarkEnd w:id="14"/>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3、开标地点：湖南化工职业技术学院行政楼110室。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5"/>
        <w:ind w:firstLine="480"/>
        <w:rPr>
          <w:color w:val="000000"/>
        </w:rPr>
      </w:pPr>
    </w:p>
    <w:p>
      <w:pPr>
        <w:pStyle w:val="6"/>
        <w:rPr>
          <w:color w:val="000000"/>
        </w:rPr>
      </w:pPr>
    </w:p>
    <w:p>
      <w:pPr>
        <w:pStyle w:val="6"/>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8"/>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8"/>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ascii="宋体" w:hAnsi="宋体" w:cs="宋体"/>
          <w:color w:val="000000"/>
          <w:kern w:val="0"/>
          <w:sz w:val="24"/>
        </w:rPr>
        <w:t>电器及电气材料定点供应商采购项目合同书》。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20" w:firstLine="0" w:firstLineChars="0"/>
        <w:rPr>
          <w:rFonts w:ascii="宋体" w:hAnsi="宋体" w:cs="宋体"/>
          <w:bCs/>
          <w:color w:val="000000"/>
          <w:sz w:val="24"/>
        </w:rPr>
      </w:pPr>
      <w:r>
        <w:rPr>
          <w:rFonts w:hint="eastAsia" w:ascii="宋体" w:hAnsi="宋体" w:cs="宋体"/>
          <w:bCs/>
          <w:color w:val="000000"/>
          <w:sz w:val="24"/>
        </w:rPr>
        <w:t>项目慨况：</w:t>
      </w:r>
    </w:p>
    <w:p>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、项目名称：电器及电气材料定点供应商采购项目</w:t>
      </w:r>
    </w:p>
    <w:p>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ind w:firstLine="480" w:firstLineChars="200"/>
        <w:rPr>
          <w:sz w:val="24"/>
        </w:rPr>
      </w:pPr>
      <w:r>
        <w:rPr>
          <w:rFonts w:hint="eastAsia" w:ascii="宋体" w:hAnsi="宋体" w:cs="宋体"/>
          <w:bCs/>
          <w:color w:val="000000"/>
          <w:sz w:val="24"/>
        </w:rPr>
        <w:t>（二）</w:t>
      </w:r>
      <w:r>
        <w:rPr>
          <w:rFonts w:hint="eastAsia"/>
          <w:sz w:val="24"/>
        </w:rPr>
        <w:t>项目报价：</w:t>
      </w:r>
    </w:p>
    <w:p>
      <w:pPr>
        <w:pStyle w:val="18"/>
        <w:widowControl/>
        <w:spacing w:before="156" w:beforeLines="50" w:after="20"/>
        <w:ind w:left="0" w:leftChars="0" w:firstLine="482"/>
        <w:jc w:val="center"/>
        <w:rPr>
          <w:rFonts w:ascii="微软雅黑" w:hAnsi="微软雅黑" w:eastAsia="微软雅黑" w:cs="微软雅黑"/>
          <w:b/>
          <w:sz w:val="30"/>
          <w:szCs w:val="30"/>
        </w:rPr>
      </w:pPr>
      <w:r>
        <w:rPr>
          <w:rFonts w:hint="eastAsia" w:ascii="宋体" w:hAnsi="宋体" w:cs="宋体"/>
          <w:b/>
          <w:color w:val="000000"/>
          <w:kern w:val="0"/>
          <w:sz w:val="24"/>
        </w:rPr>
        <w:t>电器及电气材料名称、规格、品牌及报价</w:t>
      </w:r>
    </w:p>
    <w:tbl>
      <w:tblPr>
        <w:tblStyle w:val="19"/>
        <w:tblpPr w:leftFromText="180" w:rightFromText="180" w:vertAnchor="text" w:horzAnchor="page" w:tblpX="1159" w:tblpY="172"/>
        <w:tblOverlap w:val="never"/>
        <w:tblW w:w="10010" w:type="dxa"/>
        <w:tblInd w:w="0" w:type="dxa"/>
        <w:tblLayout w:type="fixed"/>
        <w:tblCellMar>
          <w:top w:w="0" w:type="dxa"/>
          <w:left w:w="108" w:type="dxa"/>
          <w:bottom w:w="0" w:type="dxa"/>
          <w:right w:w="108" w:type="dxa"/>
        </w:tblCellMar>
      </w:tblPr>
      <w:tblGrid>
        <w:gridCol w:w="628"/>
        <w:gridCol w:w="1595"/>
        <w:gridCol w:w="1459"/>
        <w:gridCol w:w="1053"/>
        <w:gridCol w:w="825"/>
        <w:gridCol w:w="1068"/>
        <w:gridCol w:w="641"/>
        <w:gridCol w:w="736"/>
        <w:gridCol w:w="996"/>
        <w:gridCol w:w="1009"/>
      </w:tblGrid>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物品名称</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规格型号</w:t>
            </w:r>
          </w:p>
        </w:tc>
        <w:tc>
          <w:tcPr>
            <w:tcW w:w="29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800" w:firstLineChars="400"/>
              <w:rPr>
                <w:rFonts w:ascii="宋体" w:hAnsi="宋体" w:cs="宋体"/>
                <w:color w:val="000000"/>
                <w:kern w:val="0"/>
                <w:sz w:val="20"/>
                <w:szCs w:val="20"/>
              </w:rPr>
            </w:pPr>
            <w:r>
              <w:rPr>
                <w:rFonts w:hint="eastAsia" w:ascii="宋体" w:hAnsi="宋体" w:cs="宋体"/>
                <w:color w:val="000000"/>
                <w:kern w:val="0"/>
                <w:sz w:val="20"/>
                <w:szCs w:val="20"/>
              </w:rPr>
              <w:t>品牌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单位</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数量</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报 价</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优惠率</w:t>
            </w: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T5 LED管</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16w  </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佛山照明</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松下</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支</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270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restart"/>
            <w:tcBorders>
              <w:top w:val="single" w:color="000000" w:sz="4" w:space="0"/>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3×4mm²</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4×10mm²+1×6mm²</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4×16mm²</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4×16mm²+1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5×2.5mm²</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5×4mm²</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5×10mm²</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4×70+1×35mm²</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金湘</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多用排插</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403×5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公牛</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清风</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多用排插★</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403×3</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公牛</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清风</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FF0000"/>
                <w:kern w:val="0"/>
                <w:sz w:val="22"/>
                <w:szCs w:val="22"/>
              </w:rPr>
              <w:t>20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多用排插</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603×3</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公牛</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清风</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多用排插</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605×5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公牛</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清风</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153</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空气开关带漏保★</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正泰2P/25A、63A</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正泰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FF0000"/>
                <w:kern w:val="0"/>
                <w:sz w:val="22"/>
                <w:szCs w:val="22"/>
              </w:rPr>
              <w:t>50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bottom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T8 LED灯管</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18w</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支</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restart"/>
            <w:tcBorders>
              <w:top w:val="single" w:color="000000" w:sz="4" w:space="0"/>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LED吸顶灯</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28w</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400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LED平板灯</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600*600 55w</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FF0000"/>
                <w:kern w:val="0"/>
                <w:sz w:val="22"/>
                <w:szCs w:val="22"/>
              </w:rPr>
              <w:t>210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LED平板灯</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600*1200 120w</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LED模组光源</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18w</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550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9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落地扇</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52R400、</w:t>
            </w:r>
          </w:p>
          <w:p>
            <w:pPr>
              <w:widowControl/>
              <w:rPr>
                <w:rFonts w:ascii="宋体" w:hAnsi="宋体" w:cs="宋体"/>
                <w:color w:val="000000"/>
                <w:kern w:val="0"/>
                <w:sz w:val="20"/>
                <w:szCs w:val="20"/>
              </w:rPr>
            </w:pPr>
            <w:r>
              <w:rPr>
                <w:rFonts w:hint="eastAsia" w:ascii="宋体" w:hAnsi="宋体" w:cs="宋体"/>
                <w:color w:val="000000"/>
                <w:kern w:val="0"/>
                <w:sz w:val="20"/>
                <w:szCs w:val="20"/>
              </w:rPr>
              <w:t>带遥控、纯铜电机</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艾美特</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美的</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格力</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FF0000"/>
                <w:kern w:val="0"/>
                <w:sz w:val="20"/>
                <w:szCs w:val="20"/>
              </w:rPr>
              <w:t>40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吸顶扇</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纯铜电机 18寸</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飞行</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美的</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钻石</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520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吊扇</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纯铜电机、48寸</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飞行</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美的</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钻石</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120</w:t>
            </w:r>
          </w:p>
        </w:tc>
        <w:tc>
          <w:tcPr>
            <w:tcW w:w="996"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009" w:type="dxa"/>
            <w:vMerge w:val="continue"/>
            <w:tcBorders>
              <w:left w:val="single" w:color="000000" w:sz="4" w:space="0"/>
              <w:bottom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787"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p>
            <w:pPr>
              <w:widowControl/>
              <w:jc w:val="center"/>
              <w:rPr>
                <w:rFonts w:ascii="宋体" w:hAnsi="宋体" w:cs="宋体"/>
                <w:color w:val="000000"/>
                <w:kern w:val="0"/>
                <w:sz w:val="22"/>
                <w:szCs w:val="22"/>
              </w:rPr>
            </w:pP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优惠后报价汇总/元</w:t>
            </w:r>
          </w:p>
        </w:tc>
        <w:tc>
          <w:tcPr>
            <w:tcW w:w="1459" w:type="dxa"/>
            <w:tcBorders>
              <w:top w:val="single" w:color="000000" w:sz="4" w:space="0"/>
              <w:left w:val="single" w:color="000000" w:sz="4" w:space="0"/>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1053" w:type="dxa"/>
            <w:tcBorders>
              <w:top w:val="single" w:color="000000" w:sz="4" w:space="0"/>
              <w:left w:val="nil"/>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825" w:type="dxa"/>
            <w:tcBorders>
              <w:top w:val="single" w:color="000000" w:sz="4" w:space="0"/>
              <w:left w:val="nil"/>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1068" w:type="dxa"/>
            <w:tcBorders>
              <w:top w:val="single" w:color="000000" w:sz="4" w:space="0"/>
              <w:left w:val="nil"/>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641" w:type="dxa"/>
            <w:tcBorders>
              <w:top w:val="single" w:color="000000" w:sz="4" w:space="0"/>
              <w:left w:val="nil"/>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736" w:type="dxa"/>
            <w:tcBorders>
              <w:top w:val="single" w:color="000000" w:sz="4" w:space="0"/>
              <w:left w:val="nil"/>
              <w:bottom w:val="single" w:color="000000" w:sz="4" w:space="0"/>
              <w:right w:val="nil"/>
            </w:tcBorders>
          </w:tcPr>
          <w:p>
            <w:pPr>
              <w:widowControl/>
              <w:jc w:val="center"/>
              <w:rPr>
                <w:rFonts w:ascii="宋体" w:hAnsi="宋体" w:cs="宋体"/>
                <w:color w:val="000000"/>
                <w:kern w:val="0"/>
                <w:sz w:val="20"/>
                <w:szCs w:val="20"/>
              </w:rPr>
            </w:pPr>
          </w:p>
        </w:tc>
        <w:tc>
          <w:tcPr>
            <w:tcW w:w="996" w:type="dxa"/>
            <w:tcBorders>
              <w:top w:val="single" w:color="000000" w:sz="4" w:space="0"/>
              <w:left w:val="nil"/>
              <w:bottom w:val="single" w:color="000000" w:sz="4" w:space="0"/>
              <w:right w:val="nil"/>
            </w:tcBorders>
          </w:tcPr>
          <w:p>
            <w:pPr>
              <w:rPr>
                <w:rFonts w:ascii="Calibri" w:hAnsi="Calibri"/>
                <w:sz w:val="20"/>
                <w:szCs w:val="20"/>
              </w:rPr>
            </w:pPr>
          </w:p>
        </w:tc>
        <w:tc>
          <w:tcPr>
            <w:tcW w:w="1009" w:type="dxa"/>
            <w:tcBorders>
              <w:top w:val="single" w:color="000000" w:sz="4" w:space="0"/>
              <w:left w:val="nil"/>
              <w:bottom w:val="single" w:color="000000" w:sz="4" w:space="0"/>
              <w:right w:val="single" w:color="000000" w:sz="4" w:space="0"/>
            </w:tcBorders>
            <w:shd w:val="clear" w:color="auto" w:fill="auto"/>
            <w:noWrap/>
            <w:vAlign w:val="center"/>
          </w:tcPr>
          <w:p>
            <w:pPr>
              <w:rPr>
                <w:rFonts w:ascii="Calibri" w:hAnsi="Calibri"/>
                <w:sz w:val="20"/>
                <w:szCs w:val="20"/>
              </w:rPr>
            </w:pPr>
          </w:p>
        </w:tc>
      </w:tr>
    </w:tbl>
    <w:p>
      <w:pPr>
        <w:pStyle w:val="18"/>
        <w:widowControl/>
        <w:ind w:left="0" w:leftChars="0" w:firstLine="0" w:firstLineChars="0"/>
        <w:rPr>
          <w:rFonts w:cs="宋体"/>
          <w:b/>
          <w:color w:val="000000" w:themeColor="text1"/>
          <w:sz w:val="24"/>
          <w:lang w:bidi="ar"/>
          <w14:textFill>
            <w14:solidFill>
              <w14:schemeClr w14:val="tx1"/>
            </w14:solidFill>
          </w14:textFill>
        </w:rPr>
      </w:pPr>
      <w:r>
        <w:rPr>
          <w:rFonts w:hint="eastAsia" w:cs="宋体"/>
          <w:bCs/>
          <w:color w:val="000000"/>
          <w:sz w:val="24"/>
          <w:lang w:bidi="ar"/>
        </w:rPr>
        <w:t>注：（</w:t>
      </w:r>
      <w:r>
        <w:rPr>
          <w:bCs/>
          <w:color w:val="000000"/>
          <w:sz w:val="24"/>
          <w:lang w:bidi="ar"/>
        </w:rPr>
        <w:t>1</w:t>
      </w:r>
      <w:r>
        <w:rPr>
          <w:rFonts w:hint="eastAsia" w:cs="宋体"/>
          <w:bCs/>
          <w:color w:val="000000"/>
          <w:sz w:val="24"/>
          <w:lang w:bidi="ar"/>
        </w:rPr>
        <w:t>）报价为</w:t>
      </w:r>
      <w:r>
        <w:rPr>
          <w:rFonts w:hint="eastAsia" w:cs="宋体"/>
          <w:bCs/>
          <w:color w:val="000000" w:themeColor="text1"/>
          <w:sz w:val="24"/>
          <w:lang w:bidi="ar"/>
          <w14:textFill>
            <w14:solidFill>
              <w14:schemeClr w14:val="tx1"/>
            </w14:solidFill>
          </w14:textFill>
        </w:rPr>
        <w:t>推荐三个品牌的综合均价。（2）上表中未列的其它商品价格不高于市场价格的基础上向甲方按优惠率供货</w:t>
      </w:r>
      <w:r>
        <w:rPr>
          <w:rFonts w:ascii="宋体" w:hAnsi="宋体" w:cs="宋体"/>
          <w:sz w:val="24"/>
        </w:rPr>
        <w:t>且不得高于政采云的平均成交价</w:t>
      </w:r>
      <w:bookmarkStart w:id="6" w:name="_Hlk169256954"/>
      <w:r>
        <w:rPr>
          <w:rFonts w:hint="eastAsia" w:ascii="宋体" w:hAnsi="宋体" w:cs="宋体"/>
          <w:sz w:val="24"/>
        </w:rPr>
        <w:t>（所有货物均需要单独上架）</w:t>
      </w:r>
      <w:bookmarkEnd w:id="6"/>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rPr>
          <w:rFonts w:hint="eastAsia"/>
          <w:lang w:bidi="ar"/>
        </w:rPr>
      </w:pP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（说明：本方案中甲方为采购方；乙方为供应商）</w:t>
      </w:r>
    </w:p>
    <w:p>
      <w:pPr>
        <w:topLinePunct/>
        <w:spacing w:line="360" w:lineRule="auto"/>
        <w:ind w:firstLine="480" w:firstLineChars="200"/>
        <w:jc w:val="left"/>
        <w:rPr>
          <w:rFonts w:ascii="宋体" w:hAnsi="宋体" w:cs="宋体"/>
          <w:sz w:val="24"/>
        </w:rPr>
      </w:pPr>
      <w:r>
        <w:rPr>
          <w:rFonts w:hint="eastAsia" w:ascii="宋体" w:hAnsi="宋体" w:cs="宋体"/>
          <w:sz w:val="24"/>
        </w:rPr>
        <w:t>第一条 供货价格确定原则</w:t>
      </w:r>
    </w:p>
    <w:p>
      <w:pPr>
        <w:topLinePunct/>
        <w:spacing w:line="360" w:lineRule="auto"/>
        <w:ind w:firstLine="480" w:firstLineChars="200"/>
        <w:jc w:val="left"/>
        <w:rPr>
          <w:rFonts w:ascii="宋体" w:hAnsi="宋体" w:cs="宋体"/>
          <w:sz w:val="24"/>
        </w:rPr>
      </w:pPr>
      <w:r>
        <w:rPr>
          <w:rFonts w:hint="eastAsia" w:ascii="宋体" w:hAnsi="宋体" w:cs="宋体"/>
          <w:sz w:val="24"/>
        </w:rPr>
        <w:t>甲、乙双方约定：乙方向甲方提供的办公用品等耗材依下述原则来确定产品的价格并结算货物价款：</w:t>
      </w:r>
    </w:p>
    <w:p>
      <w:pPr>
        <w:topLinePunct/>
        <w:spacing w:line="360" w:lineRule="auto"/>
        <w:ind w:firstLine="480" w:firstLineChars="200"/>
        <w:jc w:val="left"/>
        <w:rPr>
          <w:rFonts w:ascii="宋体" w:hAnsi="宋体" w:cs="宋体"/>
          <w:sz w:val="24"/>
        </w:rPr>
      </w:pPr>
      <w:r>
        <w:rPr>
          <w:rFonts w:hint="eastAsia" w:ascii="宋体" w:hAnsi="宋体" w:cs="宋体"/>
          <w:sz w:val="24"/>
        </w:rPr>
        <w:t>1、乙方承诺：向甲方供应的产品价格不得高于招标比选价格与供货同期的株洲市之最低市场价。</w:t>
      </w:r>
    </w:p>
    <w:p>
      <w:pPr>
        <w:topLinePunct/>
        <w:spacing w:line="360" w:lineRule="auto"/>
        <w:ind w:firstLine="480" w:firstLineChars="200"/>
        <w:jc w:val="left"/>
        <w:rPr>
          <w:rFonts w:ascii="宋体" w:hAnsi="宋体" w:cs="宋体"/>
          <w:sz w:val="24"/>
        </w:rPr>
      </w:pPr>
      <w:r>
        <w:rPr>
          <w:rFonts w:hint="eastAsia" w:ascii="宋体" w:hAnsi="宋体" w:cs="宋体"/>
          <w:sz w:val="24"/>
        </w:rPr>
        <w:t>2、乙方承诺：若其所提供任一产品之价格与前述第1款约定不符的，则应以该产品所报价格的双倍为标准，向甲方支付违约金。</w:t>
      </w:r>
    </w:p>
    <w:p>
      <w:pPr>
        <w:topLinePunct/>
        <w:spacing w:line="360" w:lineRule="auto"/>
        <w:ind w:firstLine="480" w:firstLineChars="200"/>
        <w:jc w:val="left"/>
        <w:rPr>
          <w:rFonts w:ascii="宋体" w:hAnsi="宋体" w:cs="宋体"/>
          <w:sz w:val="24"/>
        </w:rPr>
      </w:pPr>
      <w:r>
        <w:rPr>
          <w:rFonts w:hint="eastAsia" w:ascii="宋体" w:hAnsi="宋体" w:cs="宋体"/>
          <w:sz w:val="24"/>
        </w:rPr>
        <w:t>为此，乙方并承诺：前述产品价格的确定，由甲方通过审计或市场调查（询价）的方式来确定，甲方所得出的产品价格具有终局性，乙方对此不持任何异议。</w:t>
      </w:r>
    </w:p>
    <w:p>
      <w:pPr>
        <w:topLinePunct/>
        <w:spacing w:line="360" w:lineRule="auto"/>
        <w:ind w:firstLine="480" w:firstLineChars="200"/>
        <w:jc w:val="left"/>
        <w:rPr>
          <w:rFonts w:ascii="宋体" w:hAnsi="宋体" w:cs="宋体"/>
          <w:sz w:val="24"/>
        </w:rPr>
      </w:pPr>
      <w:r>
        <w:rPr>
          <w:rFonts w:hint="eastAsia" w:ascii="宋体" w:hAnsi="宋体" w:cs="宋体"/>
          <w:sz w:val="24"/>
        </w:rPr>
        <w:t>3、前述产品的价格为到岸价、含税价，即乙方所供产品的价格中已包含货款、运输装卸费、税费、保管费、保险费、保管费等，甲方不另支付其他任何费用。</w:t>
      </w:r>
    </w:p>
    <w:p>
      <w:pPr>
        <w:autoSpaceDE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sz w:val="24"/>
        </w:rPr>
        <w:t>4、</w:t>
      </w:r>
      <w:r>
        <w:rPr>
          <w:rFonts w:hint="eastAsia" w:ascii="宋体" w:hAnsi="宋体" w:cs="宋体"/>
          <w:color w:val="000000" w:themeColor="text1"/>
          <w:sz w:val="24"/>
          <w14:textFill>
            <w14:solidFill>
              <w14:schemeClr w14:val="tx1"/>
            </w14:solidFill>
          </w14:textFill>
        </w:rPr>
        <w:t>在满足前述第1、2、3款条件之前提下，甲方对乙方所供产品每季度按投标货物总价值的总优惠率结算货物价款。</w:t>
      </w:r>
    </w:p>
    <w:p>
      <w:pPr>
        <w:topLinePunct/>
        <w:spacing w:line="360" w:lineRule="auto"/>
        <w:ind w:firstLine="480" w:firstLineChars="200"/>
        <w:jc w:val="left"/>
        <w:rPr>
          <w:rFonts w:ascii="宋体" w:hAnsi="宋体" w:cs="宋体"/>
          <w:sz w:val="24"/>
        </w:rPr>
      </w:pPr>
      <w:r>
        <w:rPr>
          <w:rFonts w:hint="eastAsia" w:ascii="宋体" w:hAnsi="宋体" w:cs="宋体"/>
          <w:sz w:val="24"/>
        </w:rPr>
        <w:t>第二条 货物采购要求</w:t>
      </w:r>
    </w:p>
    <w:p>
      <w:pPr>
        <w:topLinePunct/>
        <w:autoSpaceDE w:val="0"/>
        <w:spacing w:line="360" w:lineRule="auto"/>
        <w:ind w:firstLine="480" w:firstLineChars="200"/>
        <w:jc w:val="left"/>
        <w:rPr>
          <w:rFonts w:ascii="Calibri" w:hAnsi="Calibri"/>
          <w:sz w:val="24"/>
        </w:rPr>
      </w:pPr>
      <w:r>
        <w:rPr>
          <w:sz w:val="24"/>
        </w:rPr>
        <w:t>1</w:t>
      </w:r>
      <w:r>
        <w:rPr>
          <w:rFonts w:hint="eastAsia" w:ascii="宋体" w:hAnsi="宋体" w:cs="宋体"/>
          <w:sz w:val="24"/>
        </w:rPr>
        <w:t>、所供产品是全新的一线优质后勤要求的环保品牌，是用一流的工艺和最佳材料制造而成的正品。</w:t>
      </w:r>
    </w:p>
    <w:p>
      <w:pPr>
        <w:topLinePunct/>
        <w:autoSpaceDE w:val="0"/>
        <w:spacing w:line="360" w:lineRule="auto"/>
        <w:ind w:firstLine="480" w:firstLineChars="200"/>
        <w:jc w:val="left"/>
        <w:rPr>
          <w:rFonts w:ascii="宋体" w:hAnsi="宋体" w:cs="宋体"/>
          <w:sz w:val="24"/>
        </w:rPr>
      </w:pPr>
      <w:r>
        <w:rPr>
          <w:rFonts w:hint="eastAsia" w:ascii="宋体" w:hAnsi="宋体" w:cs="宋体"/>
          <w:sz w:val="24"/>
        </w:rPr>
        <w:t>2、供应的产品价格不得高于供货同期的株洲市之最低市场价，严格按照投标时投标价和优惠率结算货款。若所报价格高于市场价，愿承担该宗货物一倍及以上的惩罚性补偿。</w:t>
      </w:r>
    </w:p>
    <w:p>
      <w:pPr>
        <w:widowControl/>
        <w:autoSpaceDE w:val="0"/>
        <w:spacing w:after="120" w:line="360" w:lineRule="auto"/>
        <w:ind w:firstLine="480" w:firstLineChars="200"/>
        <w:rPr>
          <w:szCs w:val="21"/>
        </w:rPr>
      </w:pPr>
      <w:r>
        <w:rPr>
          <w:rFonts w:hint="eastAsia" w:ascii="宋体" w:hAnsi="宋体" w:cs="宋体"/>
          <w:sz w:val="24"/>
        </w:rPr>
        <w:t>3、产品的价格为到岸价、含税价，即乙方所供产品的价格中已包含货款、运输装卸费、税费、保管费、保险费、保管费等，甲方不另支付其他任何费用。</w:t>
      </w:r>
    </w:p>
    <w:p>
      <w:pPr>
        <w:autoSpaceDE w:val="0"/>
        <w:spacing w:line="360" w:lineRule="auto"/>
        <w:ind w:firstLine="480" w:firstLineChars="200"/>
        <w:rPr>
          <w:rFonts w:ascii="Calibri" w:hAnsi="Calibri"/>
          <w:sz w:val="24"/>
        </w:rPr>
      </w:pPr>
      <w:r>
        <w:rPr>
          <w:rFonts w:hint="eastAsia" w:ascii="微软雅黑" w:hAnsi="微软雅黑" w:eastAsia="微软雅黑" w:cs="微软雅黑"/>
          <w:b/>
          <w:sz w:val="24"/>
        </w:rPr>
        <w:t>★</w:t>
      </w:r>
      <w:r>
        <w:rPr>
          <w:sz w:val="24"/>
        </w:rPr>
        <w:t>4</w:t>
      </w:r>
      <w:r>
        <w:rPr>
          <w:rFonts w:hint="eastAsia" w:ascii="宋体" w:hAnsi="宋体" w:cs="宋体"/>
          <w:sz w:val="24"/>
        </w:rPr>
        <w:t>、开标时需</w:t>
      </w:r>
      <w:r>
        <w:rPr>
          <w:rFonts w:hint="eastAsia" w:ascii="宋体" w:hAnsi="宋体" w:cs="宋体"/>
          <w:b/>
          <w:sz w:val="24"/>
        </w:rPr>
        <w:t>提供带</w:t>
      </w:r>
      <w:r>
        <w:rPr>
          <w:rFonts w:hint="eastAsia" w:ascii="微软雅黑" w:hAnsi="微软雅黑" w:eastAsia="微软雅黑" w:cs="微软雅黑"/>
          <w:b/>
          <w:sz w:val="24"/>
        </w:rPr>
        <w:t>★</w:t>
      </w:r>
      <w:r>
        <w:rPr>
          <w:rFonts w:hint="eastAsia" w:ascii="宋体" w:hAnsi="宋体" w:cs="宋体"/>
          <w:b/>
          <w:sz w:val="24"/>
        </w:rPr>
        <w:t>样品或图片，并提供生产许可证、技术性能标准、产品合格证、生产批件及检测报告等相关资料复印件。</w:t>
      </w:r>
    </w:p>
    <w:p>
      <w:pPr>
        <w:autoSpaceDE w:val="0"/>
        <w:spacing w:line="360" w:lineRule="auto"/>
        <w:ind w:firstLine="480" w:firstLineChars="200"/>
        <w:rPr>
          <w:rFonts w:ascii="Calibri" w:hAnsi="Calibri"/>
          <w:sz w:val="24"/>
        </w:rPr>
      </w:pPr>
      <w:r>
        <w:rPr>
          <w:sz w:val="24"/>
        </w:rPr>
        <w:t>5</w:t>
      </w:r>
      <w:r>
        <w:rPr>
          <w:rFonts w:hint="eastAsia" w:ascii="宋体" w:hAnsi="宋体" w:cs="宋体"/>
          <w:sz w:val="24"/>
        </w:rPr>
        <w:t>、所供货物的产地、规格型号、花色、品种与所提供的样品图片相符。</w:t>
      </w:r>
    </w:p>
    <w:p>
      <w:pPr>
        <w:autoSpaceDE w:val="0"/>
        <w:spacing w:line="360" w:lineRule="auto"/>
        <w:ind w:firstLine="480" w:firstLineChars="200"/>
        <w:rPr>
          <w:rFonts w:ascii="Calibri" w:hAnsi="Calibri"/>
          <w:sz w:val="24"/>
        </w:rPr>
      </w:pPr>
      <w:r>
        <w:rPr>
          <w:sz w:val="24"/>
        </w:rPr>
        <w:t>6</w:t>
      </w:r>
      <w:r>
        <w:rPr>
          <w:rFonts w:hint="eastAsia" w:ascii="宋体" w:hAnsi="宋体" w:cs="宋体"/>
          <w:sz w:val="24"/>
        </w:rPr>
        <w:t>、供货地点时间：按后勤采购要求分批供应，及时送达学校后勤处。</w:t>
      </w:r>
    </w:p>
    <w:p>
      <w:pPr>
        <w:widowControl/>
        <w:autoSpaceDE w:val="0"/>
        <w:spacing w:after="120" w:line="360" w:lineRule="auto"/>
        <w:ind w:firstLine="480" w:firstLineChars="200"/>
        <w:rPr>
          <w:rFonts w:ascii="宋体" w:hAnsi="宋体" w:cs="宋体"/>
          <w:sz w:val="24"/>
        </w:rPr>
      </w:pPr>
      <w:r>
        <w:rPr>
          <w:rFonts w:ascii="Calibri" w:hAnsi="Calibri"/>
          <w:sz w:val="24"/>
        </w:rPr>
        <w:t>7</w:t>
      </w:r>
      <w:r>
        <w:rPr>
          <w:rFonts w:hint="eastAsia" w:ascii="宋体" w:hAnsi="宋体" w:cs="宋体"/>
          <w:sz w:val="24"/>
        </w:rPr>
        <w:t>、所有货物按照参数明细要在电子卖场分别上架（货物无链接不得采购），且价格不得高于政采云成交平均价和合同价格（按照最低价执行），采购人按照需求下单，确保物品质量（有样品的要与样品对比），要先下单后送货。</w:t>
      </w:r>
    </w:p>
    <w:p>
      <w:pPr>
        <w:topLinePunct/>
        <w:spacing w:line="360" w:lineRule="auto"/>
        <w:ind w:firstLine="480" w:firstLineChars="200"/>
        <w:jc w:val="left"/>
        <w:rPr>
          <w:rFonts w:ascii="宋体" w:hAnsi="宋体" w:cs="宋体"/>
          <w:sz w:val="24"/>
        </w:rPr>
      </w:pPr>
      <w:r>
        <w:rPr>
          <w:rFonts w:hint="eastAsia" w:ascii="宋体" w:hAnsi="宋体" w:cs="宋体"/>
          <w:sz w:val="24"/>
        </w:rPr>
        <w:t>第三条  产品缺陷及产品缺陷的处理方式</w:t>
      </w:r>
    </w:p>
    <w:p>
      <w:pPr>
        <w:topLinePunct/>
        <w:spacing w:line="360" w:lineRule="auto"/>
        <w:ind w:firstLine="480" w:firstLineChars="200"/>
        <w:jc w:val="left"/>
        <w:rPr>
          <w:rFonts w:ascii="宋体" w:hAnsi="宋体" w:cs="宋体"/>
          <w:sz w:val="24"/>
        </w:rPr>
      </w:pPr>
      <w:r>
        <w:rPr>
          <w:rFonts w:hint="eastAsia" w:ascii="宋体" w:hAnsi="宋体" w:cs="宋体"/>
          <w:sz w:val="24"/>
        </w:rPr>
        <w:t>1、乙方应确保其提供的所有产品品质及质量均符合国家强制性执行标准、国家标准或行业标准，鉴于前述，乙方承诺：其向甲方提供之所有产品，其质量保证期均不得低于12个月（自该产品经甲方验收合格并交付使用之日起算），如国家、行业对该产品规定的质量保证期高于12个月的，则以国家、行业对该产品规定的质量保证期限为准；如该产品在质量保证期内发生质量或故障缺陷，则乙方应负责对该产品的质量或故障缺陷予以修复，因此产生的费用由乙方承担，且该产品的质量保证期限自该质量或故障消除后的次日重新开始计算；如该产品在质量保证期内连续或累计出现同一质量或故障缺陷的，则乙方应负责对该产品予以更换，因此产生的费用由乙方承担，且该更换产品的质量保证期限自该产品经甲方验收合格并交付使用后的次日重新开始计算。</w:t>
      </w:r>
    </w:p>
    <w:p>
      <w:pPr>
        <w:topLinePunct/>
        <w:spacing w:line="360" w:lineRule="auto"/>
        <w:ind w:firstLine="480" w:firstLineChars="200"/>
        <w:jc w:val="left"/>
        <w:rPr>
          <w:rFonts w:ascii="宋体" w:hAnsi="宋体" w:cs="宋体"/>
          <w:sz w:val="24"/>
        </w:rPr>
      </w:pPr>
      <w:r>
        <w:rPr>
          <w:rFonts w:hint="eastAsia" w:ascii="宋体" w:hAnsi="宋体" w:cs="宋体"/>
          <w:sz w:val="24"/>
        </w:rPr>
        <w:t>2、乙方应确保其所供产品是全新的，是用一流的工艺和最佳材料制造而成的正品，并完全符合认购时约定的质量、规格和性能的要求。乙方应确保其所供产品在正确安装、正常使用和保养条件下，在其使用寿命内应符合工艺、性能、使用的标准及要求。</w:t>
      </w:r>
    </w:p>
    <w:p>
      <w:pPr>
        <w:topLinePunct/>
        <w:spacing w:line="360" w:lineRule="auto"/>
        <w:ind w:firstLine="480" w:firstLineChars="200"/>
        <w:jc w:val="left"/>
        <w:rPr>
          <w:rFonts w:ascii="宋体" w:hAnsi="宋体" w:cs="宋体"/>
          <w:sz w:val="24"/>
        </w:rPr>
      </w:pPr>
      <w:r>
        <w:rPr>
          <w:rFonts w:hint="eastAsia" w:ascii="宋体" w:hAnsi="宋体" w:cs="宋体"/>
          <w:sz w:val="24"/>
        </w:rPr>
        <w:t>3、甲、乙双方约定：乙方所供任一产品经验收合格并交付使用后在前述第1款所约定的质量保证期内，若该产品因设计、工艺或材料方面的缺陷出现无法正常使用、运行故障、不能满足设计或工艺要求、不能达到该产品使用性能等情形的，则由甲方负责修缮或采取其他补救措施，但因此产生的费用由乙方承担。</w:t>
      </w:r>
    </w:p>
    <w:p>
      <w:pPr>
        <w:topLinePunct/>
        <w:spacing w:line="360" w:lineRule="auto"/>
        <w:ind w:firstLine="480" w:firstLineChars="200"/>
        <w:jc w:val="left"/>
        <w:rPr>
          <w:rFonts w:ascii="宋体" w:hAnsi="宋体" w:cs="宋体"/>
          <w:sz w:val="24"/>
        </w:rPr>
      </w:pPr>
      <w:r>
        <w:rPr>
          <w:rFonts w:hint="eastAsia" w:ascii="宋体" w:hAnsi="宋体" w:cs="宋体"/>
          <w:sz w:val="24"/>
        </w:rPr>
        <w:t>4、乙方所供产品之数量、产地、规格型号、花色、品种与约定不符或缺少产品合格证、检验证书、出厂证、使用说明书、技术及性能标准等文件资料（含文件不齐备的情形）的，甲方有权拒收该产品，乙方应采取更换、弥补、补充等补救措施，因此所产生的费用由乙方承担，并不得因此免除乙方逾期交货的责任。</w:t>
      </w:r>
    </w:p>
    <w:p>
      <w:pPr>
        <w:topLinePunct/>
        <w:spacing w:line="360" w:lineRule="auto"/>
        <w:ind w:firstLine="480" w:firstLineChars="200"/>
        <w:jc w:val="left"/>
        <w:rPr>
          <w:rFonts w:ascii="宋体" w:hAnsi="宋体" w:cs="宋体"/>
          <w:sz w:val="24"/>
        </w:rPr>
      </w:pPr>
      <w:r>
        <w:rPr>
          <w:rFonts w:hint="eastAsia" w:ascii="宋体" w:hAnsi="宋体" w:cs="宋体"/>
          <w:sz w:val="24"/>
        </w:rPr>
        <w:t>5、乙方所供产品经安装验收后或在质量保证期内，如出现下列产品缺陷情形之一的，乙方应负责采取维修、更换、弥补措施，并承担因此所发生的费用：</w:t>
      </w:r>
    </w:p>
    <w:p>
      <w:pPr>
        <w:topLinePunct/>
        <w:spacing w:line="360" w:lineRule="auto"/>
        <w:ind w:firstLine="480" w:firstLineChars="200"/>
        <w:jc w:val="left"/>
        <w:rPr>
          <w:rFonts w:ascii="宋体" w:hAnsi="宋体" w:cs="宋体"/>
          <w:sz w:val="24"/>
        </w:rPr>
      </w:pPr>
      <w:r>
        <w:rPr>
          <w:rFonts w:hint="eastAsia" w:ascii="宋体" w:hAnsi="宋体" w:cs="宋体"/>
          <w:sz w:val="24"/>
        </w:rPr>
        <w:t>（1）产品选用材料与约定或设计、工艺要求不符的；</w:t>
      </w:r>
    </w:p>
    <w:p>
      <w:pPr>
        <w:topLinePunct/>
        <w:spacing w:line="360" w:lineRule="auto"/>
        <w:ind w:firstLine="480" w:firstLineChars="200"/>
        <w:jc w:val="left"/>
        <w:rPr>
          <w:rFonts w:ascii="宋体" w:hAnsi="宋体" w:cs="宋体"/>
          <w:sz w:val="24"/>
        </w:rPr>
      </w:pPr>
      <w:r>
        <w:rPr>
          <w:rFonts w:hint="eastAsia" w:ascii="宋体" w:hAnsi="宋体" w:cs="宋体"/>
          <w:sz w:val="24"/>
        </w:rPr>
        <w:t>（2）产品不能正常使用或运行的；</w:t>
      </w:r>
    </w:p>
    <w:p>
      <w:pPr>
        <w:topLinePunct/>
        <w:spacing w:line="360" w:lineRule="auto"/>
        <w:ind w:firstLine="480" w:firstLineChars="200"/>
        <w:jc w:val="left"/>
        <w:rPr>
          <w:rFonts w:ascii="宋体" w:hAnsi="宋体" w:cs="宋体"/>
          <w:sz w:val="24"/>
        </w:rPr>
      </w:pPr>
      <w:r>
        <w:rPr>
          <w:rFonts w:hint="eastAsia" w:ascii="宋体" w:hAnsi="宋体" w:cs="宋体"/>
          <w:sz w:val="24"/>
        </w:rPr>
        <w:t>（3）产品实际运行状况或性能与双方约定或该产品设计、标注的使用性能、标准不符的；</w:t>
      </w:r>
    </w:p>
    <w:p>
      <w:pPr>
        <w:topLinePunct/>
        <w:spacing w:line="360" w:lineRule="auto"/>
        <w:ind w:firstLine="480" w:firstLineChars="200"/>
        <w:jc w:val="left"/>
        <w:rPr>
          <w:rFonts w:ascii="宋体" w:hAnsi="宋体" w:cs="宋体"/>
          <w:sz w:val="24"/>
        </w:rPr>
      </w:pPr>
      <w:r>
        <w:rPr>
          <w:rFonts w:hint="eastAsia" w:ascii="宋体" w:hAnsi="宋体" w:cs="宋体"/>
          <w:sz w:val="24"/>
        </w:rPr>
        <w:t>（4）产品不能满足工艺、设计、约定的功能或要求的；</w:t>
      </w:r>
    </w:p>
    <w:p>
      <w:pPr>
        <w:topLinePunct/>
        <w:spacing w:line="360" w:lineRule="auto"/>
        <w:ind w:firstLine="480" w:firstLineChars="200"/>
        <w:jc w:val="left"/>
        <w:rPr>
          <w:rFonts w:ascii="宋体" w:hAnsi="宋体" w:cs="宋体"/>
          <w:sz w:val="24"/>
        </w:rPr>
      </w:pPr>
      <w:r>
        <w:rPr>
          <w:rFonts w:hint="eastAsia" w:ascii="宋体" w:hAnsi="宋体" w:cs="宋体"/>
          <w:sz w:val="24"/>
        </w:rPr>
        <w:t>（5）产品故障率高，月运行率或完好率低于80%的；</w:t>
      </w:r>
    </w:p>
    <w:p>
      <w:pPr>
        <w:topLinePunct/>
        <w:spacing w:line="360" w:lineRule="auto"/>
        <w:ind w:firstLine="480" w:firstLineChars="200"/>
        <w:jc w:val="left"/>
        <w:rPr>
          <w:rFonts w:ascii="宋体" w:hAnsi="宋体" w:cs="宋体"/>
          <w:sz w:val="24"/>
        </w:rPr>
      </w:pPr>
      <w:r>
        <w:rPr>
          <w:rFonts w:hint="eastAsia" w:ascii="宋体" w:hAnsi="宋体" w:cs="宋体"/>
          <w:sz w:val="24"/>
        </w:rPr>
        <w:t>（6）产品具有不利于人身安全或财产安全之使用、安全缺陷或隐患的；</w:t>
      </w:r>
    </w:p>
    <w:p>
      <w:pPr>
        <w:topLinePunct/>
        <w:spacing w:line="360" w:lineRule="auto"/>
        <w:ind w:firstLine="480" w:firstLineChars="200"/>
        <w:jc w:val="left"/>
        <w:rPr>
          <w:rFonts w:ascii="宋体" w:hAnsi="宋体" w:cs="宋体"/>
          <w:sz w:val="24"/>
        </w:rPr>
      </w:pPr>
      <w:r>
        <w:rPr>
          <w:rFonts w:hint="eastAsia" w:ascii="宋体" w:hAnsi="宋体" w:cs="宋体"/>
          <w:sz w:val="24"/>
        </w:rPr>
        <w:t>（7）产品系国家、行业规定的淘汰或限制使用产品的；</w:t>
      </w:r>
    </w:p>
    <w:p>
      <w:pPr>
        <w:topLinePunct/>
        <w:spacing w:line="360" w:lineRule="auto"/>
        <w:ind w:firstLine="480" w:firstLineChars="200"/>
        <w:jc w:val="left"/>
        <w:rPr>
          <w:rFonts w:ascii="宋体" w:hAnsi="宋体" w:cs="宋体"/>
          <w:sz w:val="24"/>
        </w:rPr>
      </w:pPr>
      <w:r>
        <w:rPr>
          <w:rFonts w:hint="eastAsia" w:ascii="宋体" w:hAnsi="宋体" w:cs="宋体"/>
          <w:sz w:val="24"/>
        </w:rPr>
        <w:t>（8）产品运行或使用的能耗标准明显高于其他同类产品的；</w:t>
      </w:r>
    </w:p>
    <w:p>
      <w:pPr>
        <w:topLinePunct/>
        <w:spacing w:line="360" w:lineRule="auto"/>
        <w:ind w:firstLine="480" w:firstLineChars="200"/>
        <w:jc w:val="left"/>
        <w:rPr>
          <w:rFonts w:ascii="宋体" w:hAnsi="宋体" w:cs="宋体"/>
          <w:sz w:val="24"/>
        </w:rPr>
      </w:pPr>
      <w:r>
        <w:rPr>
          <w:rFonts w:hint="eastAsia" w:ascii="宋体" w:hAnsi="宋体" w:cs="宋体"/>
          <w:sz w:val="24"/>
        </w:rPr>
        <w:t>（9）其他甲方确认的产品质量、使用、安全、功能缺陷等（以下简称产品缺陷）情形。</w:t>
      </w:r>
    </w:p>
    <w:p>
      <w:pPr>
        <w:topLinePunct/>
        <w:spacing w:line="360" w:lineRule="auto"/>
        <w:ind w:firstLine="480" w:firstLineChars="200"/>
        <w:jc w:val="left"/>
        <w:rPr>
          <w:rFonts w:ascii="宋体" w:hAnsi="宋体" w:cs="宋体"/>
          <w:sz w:val="24"/>
        </w:rPr>
      </w:pPr>
      <w:r>
        <w:rPr>
          <w:rFonts w:hint="eastAsia" w:ascii="宋体" w:hAnsi="宋体" w:cs="宋体"/>
          <w:sz w:val="24"/>
        </w:rPr>
        <w:t>鉴于前述，甲、乙双方约定：前述（1）至（9）项产品缺陷，甲方有权自行确认或甲方有权委托第三方（中介机构或质量技术、安全监督部门）通过鉴定程序予以确认，乙方对该产品缺陷之确认或鉴定程序及确认或鉴定结论均不持异议；如产品缺陷需通过第三方鉴定确定的，因此所发生的送检样品及检验费用，均由乙方承担。</w:t>
      </w:r>
    </w:p>
    <w:p>
      <w:pPr>
        <w:topLinePunct/>
        <w:spacing w:line="360" w:lineRule="auto"/>
        <w:ind w:firstLine="480" w:firstLineChars="200"/>
        <w:jc w:val="left"/>
        <w:rPr>
          <w:rFonts w:ascii="宋体" w:hAnsi="宋体" w:cs="宋体"/>
          <w:sz w:val="24"/>
        </w:rPr>
      </w:pPr>
      <w:r>
        <w:rPr>
          <w:rFonts w:hint="eastAsia" w:ascii="宋体" w:hAnsi="宋体" w:cs="宋体"/>
          <w:sz w:val="24"/>
        </w:rPr>
        <w:t>6、乙方承诺：因履行所供产品缺陷之品质保证义务（包括并不限于本条前述第1至5款条款所列全部义务），乙方应自收到甲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甲方有权自行采取其他方式予以补救或救济，因此产生的风险、责任及费用均由乙方自行承担。</w:t>
      </w:r>
    </w:p>
    <w:p>
      <w:pPr>
        <w:topLinePunct/>
        <w:spacing w:line="360" w:lineRule="auto"/>
        <w:ind w:firstLine="480" w:firstLineChars="200"/>
        <w:jc w:val="left"/>
        <w:rPr>
          <w:rFonts w:ascii="宋体" w:hAnsi="宋体" w:cs="宋体"/>
          <w:sz w:val="24"/>
        </w:rPr>
      </w:pPr>
      <w:r>
        <w:rPr>
          <w:rFonts w:hint="eastAsia" w:ascii="宋体" w:hAnsi="宋体" w:cs="宋体"/>
          <w:sz w:val="24"/>
        </w:rPr>
        <w:t>第四条  产品缺陷的索赔</w:t>
      </w:r>
    </w:p>
    <w:p>
      <w:pPr>
        <w:topLinePunct/>
        <w:spacing w:line="360" w:lineRule="auto"/>
        <w:ind w:firstLine="480" w:firstLineChars="200"/>
        <w:jc w:val="left"/>
        <w:rPr>
          <w:rFonts w:ascii="宋体" w:hAnsi="宋体" w:cs="宋体"/>
          <w:sz w:val="24"/>
        </w:rPr>
      </w:pPr>
      <w:r>
        <w:rPr>
          <w:rFonts w:hint="eastAsia" w:ascii="宋体" w:hAnsi="宋体" w:cs="宋体"/>
          <w:sz w:val="24"/>
        </w:rPr>
        <w:t>1、鉴于乙方为甲方所需产品之供货商，甲、乙双方约定：凡因本产品缺陷（包括并不限于产品品质、质量、使用、功能、安全、技术、设计、材质等缺陷，下同）所致之损失（包括直接或间接损失、人身或财产损失，下同），甲方向乙方出具产品缺陷依据（产品缺陷依据甲方有权委托第三方通过鉴定程序来确认，乙方对该产品缺陷鉴定程序及鉴定结论自愿放弃抗辩权）及损失依据，乙方即应向甲方承担先行赔付的责任，乙方向甲方承担赔偿责任后，有权向其他责任方追偿。</w:t>
      </w:r>
    </w:p>
    <w:p>
      <w:pPr>
        <w:topLinePunct/>
        <w:spacing w:line="360" w:lineRule="auto"/>
        <w:ind w:firstLine="480" w:firstLineChars="200"/>
        <w:jc w:val="left"/>
        <w:rPr>
          <w:rFonts w:ascii="宋体" w:hAnsi="宋体" w:cs="宋体"/>
          <w:sz w:val="24"/>
        </w:rPr>
      </w:pPr>
      <w:r>
        <w:rPr>
          <w:rFonts w:hint="eastAsia" w:ascii="宋体" w:hAnsi="宋体" w:cs="宋体"/>
          <w:sz w:val="24"/>
        </w:rPr>
        <w:t>2、乙方所供产品在检验、验收期内或质保期内，经甲方检验或甲方委托的第三人鉴定后，确认该产品与双方约定的产品品质不符或存在品质缺陷的，甲方有权选择下列途径、方式之一或综合二种以上的途径、方式向乙方索赔，乙方则对甲方索赔的方式自愿放弃抗辩权：</w:t>
      </w:r>
    </w:p>
    <w:p>
      <w:pPr>
        <w:topLinePunct/>
        <w:spacing w:line="360" w:lineRule="auto"/>
        <w:ind w:firstLine="480" w:firstLineChars="200"/>
        <w:jc w:val="left"/>
        <w:rPr>
          <w:rFonts w:ascii="宋体" w:hAnsi="宋体" w:cs="宋体"/>
          <w:sz w:val="24"/>
        </w:rPr>
      </w:pPr>
      <w:r>
        <w:rPr>
          <w:rFonts w:hint="eastAsia" w:ascii="宋体" w:hAnsi="宋体" w:cs="宋体"/>
          <w:sz w:val="24"/>
        </w:rPr>
        <w:t>（1）乙方无条件退货，将该产品的货款返还甲方，乙方并应承担由此发生的一切损失和费用，该损失和费用包括并不限于利息、银行手续费、运费、保险费、检验费、仓储费、装卸费、直接损失和间接损失、人身损失和财产损失、保管费及甲方因实现本权利所发生的其它合理费用；</w:t>
      </w:r>
    </w:p>
    <w:p>
      <w:pPr>
        <w:topLinePunct/>
        <w:spacing w:line="360" w:lineRule="auto"/>
        <w:ind w:firstLine="480" w:firstLineChars="200"/>
        <w:jc w:val="left"/>
        <w:rPr>
          <w:rFonts w:ascii="宋体" w:hAnsi="宋体" w:cs="宋体"/>
          <w:sz w:val="24"/>
        </w:rPr>
      </w:pPr>
      <w:r>
        <w:rPr>
          <w:rFonts w:hint="eastAsia" w:ascii="宋体" w:hAnsi="宋体" w:cs="宋体"/>
          <w:sz w:val="24"/>
        </w:rPr>
        <w:t>（2）如该产品经修复，尚有使用价值的，则根据该产品的可利用程度、实际价值、以及甲方因此所遭受的损失金额，甲方可折价受让该产品，但受让价格由甲方确定；</w:t>
      </w:r>
    </w:p>
    <w:p>
      <w:pPr>
        <w:topLinePunct/>
        <w:spacing w:line="360" w:lineRule="auto"/>
        <w:ind w:firstLine="480" w:firstLineChars="200"/>
        <w:jc w:val="left"/>
        <w:rPr>
          <w:rFonts w:ascii="宋体" w:hAnsi="宋体" w:cs="宋体"/>
          <w:sz w:val="24"/>
        </w:rPr>
      </w:pPr>
      <w:r>
        <w:rPr>
          <w:rFonts w:hint="eastAsia" w:ascii="宋体" w:hAnsi="宋体" w:cs="宋体"/>
          <w:sz w:val="24"/>
        </w:rPr>
        <w:t>（3）如该产品部分缺陷可用新零件、部件或设备来更换缺陷部分，使之达到或具备正常的使用功能，则甲方可允许乙方对该产品的缺陷予以修复，但因此所产生的费用、风险及责任均由乙方自行承担，并该产品缺陷的质量保证期自该产品缺陷消除之日起重新计算。</w:t>
      </w:r>
    </w:p>
    <w:p>
      <w:pPr>
        <w:topLinePunct/>
        <w:spacing w:line="360" w:lineRule="auto"/>
        <w:ind w:firstLine="480" w:firstLineChars="200"/>
        <w:jc w:val="left"/>
        <w:rPr>
          <w:rFonts w:ascii="宋体" w:hAnsi="宋体" w:cs="宋体"/>
          <w:sz w:val="24"/>
        </w:rPr>
      </w:pPr>
      <w:r>
        <w:rPr>
          <w:rFonts w:hint="eastAsia" w:ascii="宋体" w:hAnsi="宋体" w:cs="宋体"/>
          <w:sz w:val="24"/>
        </w:rPr>
        <w:t>3、自甲方向乙方发出索赔通知之日起7天内，乙方未作答复的，即视为乙方接受甲方提出的索赔条件，甲方有权以乙方的货款直接充抵该产品缺陷之索赔款。</w:t>
      </w:r>
    </w:p>
    <w:p>
      <w:pPr>
        <w:topLinePunct/>
        <w:spacing w:line="360" w:lineRule="auto"/>
        <w:ind w:firstLine="480" w:firstLineChars="200"/>
        <w:jc w:val="left"/>
        <w:rPr>
          <w:rFonts w:ascii="宋体" w:hAnsi="宋体" w:cs="宋体"/>
          <w:sz w:val="24"/>
        </w:rPr>
      </w:pPr>
      <w:r>
        <w:rPr>
          <w:rFonts w:hint="eastAsia" w:ascii="宋体" w:hAnsi="宋体" w:cs="宋体"/>
          <w:sz w:val="24"/>
        </w:rPr>
        <w:t>第五条  产品货款结算、支付方式及期限</w:t>
      </w:r>
    </w:p>
    <w:p>
      <w:pPr>
        <w:topLinePunct/>
        <w:spacing w:line="360" w:lineRule="auto"/>
        <w:ind w:firstLine="480" w:firstLineChars="200"/>
        <w:jc w:val="left"/>
        <w:rPr>
          <w:rFonts w:ascii="宋体" w:hAnsi="宋体" w:cs="宋体"/>
          <w:sz w:val="24"/>
        </w:rPr>
      </w:pPr>
      <w:r>
        <w:rPr>
          <w:rFonts w:hint="eastAsia" w:ascii="宋体" w:hAnsi="宋体" w:cs="宋体"/>
          <w:sz w:val="24"/>
        </w:rPr>
        <w:t>1、就乙方所供产品之货款，甲、乙双方应根据本合同诸条款所约定之内容、供货单、验收单等文件资料每半年就产品货款、违约金、赔偿金等内容结算一次，结算金额以人民币计价，如有结余并乙方向甲方提供正式发票后，则甲方向乙方支付货款的条件成就，在未办理结算及乙方未提供结算发票前，甲方即有权拒付该货款。</w:t>
      </w:r>
    </w:p>
    <w:p>
      <w:pPr>
        <w:topLinePunct/>
        <w:spacing w:line="360" w:lineRule="auto"/>
        <w:ind w:firstLine="482" w:firstLineChars="200"/>
        <w:jc w:val="left"/>
        <w:rPr>
          <w:rFonts w:ascii="宋体" w:hAnsi="宋体" w:cs="宋体"/>
          <w:b/>
          <w:sz w:val="24"/>
        </w:rPr>
      </w:pPr>
      <w:r>
        <w:rPr>
          <w:rFonts w:hint="eastAsia" w:ascii="宋体" w:hAnsi="宋体" w:cs="宋体"/>
          <w:b/>
          <w:sz w:val="24"/>
        </w:rPr>
        <w:t>2、甲、乙双方依前款约定的程序办理货物价款结算时，结算清单上应注明品牌、规格、单价、数量等内容，合同到期前从所结算货款中预留1万作为产品质保金，质保期届满后，如产品未出现缺陷故障或质量缺陷，则甲方应将该质保金返还给乙方（本金，不计息）；如产品在质保期内出现缺陷故障或质量缺陷，则该质保金作为违约金，甲方有权不予返还给乙方。</w:t>
      </w:r>
    </w:p>
    <w:p>
      <w:pPr>
        <w:topLinePunct/>
        <w:spacing w:line="360" w:lineRule="auto"/>
        <w:ind w:firstLine="480" w:firstLineChars="200"/>
        <w:jc w:val="left"/>
        <w:rPr>
          <w:rFonts w:ascii="宋体" w:hAnsi="宋体" w:cs="宋体"/>
          <w:sz w:val="24"/>
        </w:rPr>
      </w:pPr>
      <w:r>
        <w:rPr>
          <w:rFonts w:hint="eastAsia" w:ascii="宋体" w:hAnsi="宋体" w:cs="宋体"/>
          <w:sz w:val="24"/>
        </w:rPr>
        <w:t>3、乙方指定的收款帐户为：</w:t>
      </w:r>
    </w:p>
    <w:p>
      <w:pPr>
        <w:topLinePunct/>
        <w:spacing w:line="360" w:lineRule="auto"/>
        <w:ind w:firstLine="480" w:firstLineChars="200"/>
        <w:jc w:val="left"/>
        <w:rPr>
          <w:rFonts w:ascii="宋体" w:hAnsi="宋体" w:cs="宋体"/>
          <w:sz w:val="24"/>
        </w:rPr>
      </w:pPr>
      <w:r>
        <w:rPr>
          <w:rFonts w:hint="eastAsia" w:ascii="宋体" w:hAnsi="宋体" w:cs="宋体"/>
          <w:sz w:val="24"/>
        </w:rPr>
        <w:t>第六条 售后服务要求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1、所有货物保修期按国家相关规定，如有特殊情况请于标书中注明。保修期起始日期按验收合格日期计算，保修期内应免费上门维修。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2、供货商应提供维修电话及联系人，用户报修后，须在下一工作日内派人员上门现场维护，并在48小时内解决问题。在规定时间内不能解决问题的设备，应提供相同档次的设备给用户代用。</w:t>
      </w:r>
    </w:p>
    <w:p>
      <w:pPr>
        <w:topLinePunct/>
        <w:spacing w:line="360" w:lineRule="auto"/>
        <w:ind w:firstLine="480" w:firstLineChars="200"/>
        <w:jc w:val="left"/>
        <w:rPr>
          <w:sz w:val="24"/>
        </w:rPr>
      </w:pPr>
      <w:r>
        <w:rPr>
          <w:rFonts w:hint="eastAsia" w:ascii="宋体" w:hAnsi="宋体" w:cs="宋体"/>
          <w:color w:val="000000" w:themeColor="text1"/>
          <w:sz w:val="24"/>
          <w14:textFill>
            <w14:solidFill>
              <w14:schemeClr w14:val="tx1"/>
            </w14:solidFill>
          </w14:textFill>
        </w:rPr>
        <w:t>3、保修期内，同一批产品30天内连续多次出现同一故障，供货商须无条件免费更换相应档次的货物。</w:t>
      </w:r>
    </w:p>
    <w:p>
      <w:pPr>
        <w:topLinePunct/>
        <w:spacing w:line="360" w:lineRule="auto"/>
        <w:ind w:firstLine="480" w:firstLineChars="200"/>
        <w:jc w:val="left"/>
        <w:rPr>
          <w:rFonts w:ascii="宋体" w:hAnsi="宋体" w:cs="宋体"/>
          <w:sz w:val="24"/>
        </w:rPr>
      </w:pPr>
      <w:r>
        <w:rPr>
          <w:rFonts w:hint="eastAsia" w:ascii="宋体" w:hAnsi="宋体" w:cs="宋体"/>
          <w:sz w:val="24"/>
        </w:rPr>
        <w:t>第七条  违约责任</w:t>
      </w:r>
    </w:p>
    <w:p>
      <w:pPr>
        <w:topLinePunct/>
        <w:spacing w:line="360" w:lineRule="auto"/>
        <w:ind w:firstLine="480" w:firstLineChars="200"/>
        <w:jc w:val="left"/>
        <w:rPr>
          <w:rFonts w:ascii="宋体" w:hAnsi="宋体" w:cs="宋体"/>
          <w:sz w:val="24"/>
        </w:rPr>
      </w:pPr>
      <w:r>
        <w:rPr>
          <w:rFonts w:hint="eastAsia" w:ascii="宋体" w:hAnsi="宋体" w:cs="宋体"/>
          <w:sz w:val="24"/>
        </w:rPr>
        <w:t>1、乙方违反本合同或单次、单项送货单所载明的交货期限之约定，逾期交付货物的，则应以该批货物总价款的5%/天为标准，向甲方支付逾期交货违约金。</w:t>
      </w:r>
    </w:p>
    <w:p>
      <w:pPr>
        <w:topLinePunct/>
        <w:spacing w:line="360" w:lineRule="auto"/>
        <w:ind w:firstLine="480" w:firstLineChars="200"/>
        <w:jc w:val="left"/>
        <w:rPr>
          <w:rFonts w:ascii="宋体" w:hAnsi="宋体" w:cs="宋体"/>
          <w:sz w:val="24"/>
        </w:rPr>
      </w:pPr>
      <w:r>
        <w:rPr>
          <w:rFonts w:hint="eastAsia" w:ascii="宋体" w:hAnsi="宋体" w:cs="宋体"/>
          <w:sz w:val="24"/>
        </w:rPr>
        <w:t>2、乙方违反本合同或单次、单项送货单所载明的产品品种、花色、规则型号、品质之约定，所交产品不符的，甲方有权拒收该批产品，乙方除应承担更换及因此产生的损失和费用的责任外，如因此导致逾期交货的，同样应以该批货物总价款的5%/天为标准，向甲方支付逾期交货违约金。</w:t>
      </w:r>
    </w:p>
    <w:p>
      <w:pPr>
        <w:topLinePunct/>
        <w:spacing w:line="360" w:lineRule="auto"/>
        <w:ind w:firstLine="480" w:firstLineChars="200"/>
        <w:jc w:val="left"/>
        <w:rPr>
          <w:rFonts w:ascii="宋体" w:hAnsi="宋体" w:cs="宋体"/>
          <w:sz w:val="24"/>
        </w:rPr>
      </w:pPr>
      <w:r>
        <w:rPr>
          <w:rFonts w:hint="eastAsia" w:ascii="宋体" w:hAnsi="宋体" w:cs="宋体"/>
          <w:sz w:val="24"/>
        </w:rPr>
        <w:t>3、乙方违反本合同第三条2款之约定，随机附带的产品文件资料及配品、随机工具不齐的，乙方除应承担补足、补齐的责任外，因此导致逾期交货的，应以该批货物总价款的5%/天为标准，向甲方支付逾期交货违约金。</w:t>
      </w:r>
    </w:p>
    <w:p>
      <w:pPr>
        <w:topLinePunct/>
        <w:spacing w:line="360" w:lineRule="auto"/>
        <w:ind w:firstLine="480" w:firstLineChars="200"/>
        <w:jc w:val="left"/>
        <w:rPr>
          <w:rFonts w:ascii="宋体" w:hAnsi="宋体" w:cs="宋体"/>
          <w:sz w:val="24"/>
        </w:rPr>
      </w:pPr>
      <w:r>
        <w:rPr>
          <w:rFonts w:hint="eastAsia" w:ascii="宋体" w:hAnsi="宋体" w:cs="宋体"/>
          <w:sz w:val="24"/>
        </w:rPr>
        <w:t>4、产品质保期内，如产品出现质量、缺陷、使用、功能、性能等方面故障的，乙方应自接到甲方的维修、维护通知之时起24小时内到达现场维修，并最迟应于到达现场之时起24小时内维修完毕并排除故障，使之达到正常使用的功能。乙方逾期未能到达现场维修或逾期未能排除故障的，应以500元/时为标准，向甲方支付违约金；甲方并有权另请第三方维修，因此产生的费用及导致的损失均应由乙方承担。</w:t>
      </w:r>
    </w:p>
    <w:p>
      <w:pPr>
        <w:topLinePunct/>
        <w:spacing w:line="360" w:lineRule="auto"/>
        <w:ind w:firstLine="480" w:firstLineChars="200"/>
        <w:jc w:val="left"/>
        <w:rPr>
          <w:rFonts w:ascii="宋体" w:hAnsi="宋体" w:cs="宋体"/>
          <w:sz w:val="24"/>
        </w:rPr>
      </w:pPr>
      <w:r>
        <w:rPr>
          <w:rFonts w:hint="eastAsia" w:ascii="宋体" w:hAnsi="宋体" w:cs="宋体"/>
          <w:sz w:val="24"/>
        </w:rPr>
        <w:t>第八条  其他特别约定</w:t>
      </w:r>
    </w:p>
    <w:p>
      <w:pPr>
        <w:topLinePunct/>
        <w:spacing w:line="360" w:lineRule="auto"/>
        <w:ind w:firstLine="480" w:firstLineChars="200"/>
        <w:jc w:val="left"/>
        <w:rPr>
          <w:rFonts w:ascii="宋体" w:hAnsi="宋体" w:cs="宋体"/>
          <w:sz w:val="24"/>
        </w:rPr>
      </w:pPr>
      <w:r>
        <w:rPr>
          <w:rFonts w:hint="eastAsia" w:ascii="宋体" w:hAnsi="宋体" w:cs="宋体"/>
          <w:sz w:val="24"/>
        </w:rPr>
        <w:t>1、就不可抗力事件对本合同履行之影响及补救措施，双方约定如下：</w:t>
      </w:r>
    </w:p>
    <w:p>
      <w:pPr>
        <w:topLinePunct/>
        <w:spacing w:line="360" w:lineRule="auto"/>
        <w:ind w:firstLine="480" w:firstLineChars="200"/>
        <w:jc w:val="left"/>
        <w:rPr>
          <w:rFonts w:ascii="宋体" w:hAnsi="宋体" w:cs="宋体"/>
          <w:sz w:val="24"/>
        </w:rPr>
      </w:pPr>
      <w:r>
        <w:rPr>
          <w:rFonts w:hint="eastAsia" w:ascii="宋体" w:hAnsi="宋体" w:cs="宋体"/>
          <w:sz w:val="24"/>
        </w:rPr>
        <w:t>（1）经双方确认属于不可抗力的事件（即地震、山崩、海啸、泥石流、地陷、战争、骚乱等事件），致影响本合同履行的，履行合同的期限应予以延长，延长的期限应相当于事件所影响的期间；</w:t>
      </w:r>
    </w:p>
    <w:p>
      <w:pPr>
        <w:topLinePunct/>
        <w:spacing w:line="360" w:lineRule="auto"/>
        <w:ind w:firstLine="480" w:firstLineChars="200"/>
        <w:jc w:val="left"/>
        <w:rPr>
          <w:rFonts w:ascii="宋体" w:hAnsi="宋体" w:cs="宋体"/>
          <w:sz w:val="24"/>
        </w:rPr>
      </w:pPr>
      <w:r>
        <w:rPr>
          <w:rFonts w:hint="eastAsia" w:ascii="宋体" w:hAnsi="宋体" w:cs="宋体"/>
          <w:sz w:val="24"/>
        </w:rPr>
        <w:t>（2） 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pPr>
        <w:topLinePunct/>
        <w:spacing w:line="360" w:lineRule="auto"/>
        <w:ind w:firstLine="480" w:firstLineChars="200"/>
        <w:jc w:val="left"/>
        <w:rPr>
          <w:rFonts w:ascii="宋体" w:hAnsi="宋体" w:cs="宋体"/>
          <w:sz w:val="24"/>
        </w:rPr>
      </w:pPr>
      <w:r>
        <w:rPr>
          <w:rFonts w:hint="eastAsia" w:ascii="宋体" w:hAnsi="宋体" w:cs="宋体"/>
          <w:sz w:val="24"/>
        </w:rPr>
        <w:t>2、乙方对其所供产品或提供的服务，应严格执行国家的三包政策规定，如产品生产商、供应商提供或承诺的质保期期限、产品品质保证的内容或项目与国家、行业规定的三包内容不一致的，则按较优的三包规定来执行。</w:t>
      </w:r>
    </w:p>
    <w:p>
      <w:pPr>
        <w:topLinePunct/>
        <w:spacing w:line="360" w:lineRule="auto"/>
        <w:ind w:firstLine="480" w:firstLineChars="200"/>
        <w:jc w:val="left"/>
        <w:rPr>
          <w:rFonts w:ascii="宋体" w:hAnsi="宋体" w:cs="宋体"/>
          <w:sz w:val="24"/>
        </w:rPr>
      </w:pPr>
      <w:r>
        <w:rPr>
          <w:rFonts w:hint="eastAsia" w:ascii="宋体" w:hAnsi="宋体" w:cs="宋体"/>
          <w:sz w:val="24"/>
        </w:rPr>
        <w:t>3、对复杂、成套设备或产品（具体由甲方界定），应由乙方负责调试、安装，给予甲方的操作人员以技术支持或培训，并承担因此所产生相关费用。</w:t>
      </w:r>
    </w:p>
    <w:p>
      <w:pPr>
        <w:topLinePunct/>
        <w:spacing w:line="360" w:lineRule="auto"/>
        <w:ind w:firstLine="480" w:firstLineChars="200"/>
        <w:jc w:val="left"/>
        <w:rPr>
          <w:rFonts w:ascii="宋体" w:hAnsi="宋体" w:cs="宋体"/>
          <w:sz w:val="24"/>
        </w:rPr>
      </w:pPr>
      <w:r>
        <w:rPr>
          <w:rFonts w:hint="eastAsia" w:ascii="宋体" w:hAnsi="宋体" w:cs="宋体"/>
          <w:sz w:val="24"/>
        </w:rPr>
        <w:t>4、甲、乙双方约定：守约方因实现本合同权利所发生的律师费、诉讼费、仲裁费、财产保全费、执行费、公证费、公告费、检验费、评估费、鉴定费、拍卖费、交通费、查询费、通讯费、差旅费等，均应由违约方承担。</w:t>
      </w:r>
    </w:p>
    <w:p>
      <w:pPr>
        <w:topLinePunct/>
        <w:spacing w:line="360" w:lineRule="auto"/>
        <w:ind w:firstLine="480" w:firstLineChars="200"/>
        <w:jc w:val="left"/>
        <w:rPr>
          <w:rFonts w:ascii="宋体" w:hAnsi="宋体" w:cs="宋体"/>
          <w:sz w:val="24"/>
        </w:rPr>
      </w:pPr>
      <w:r>
        <w:rPr>
          <w:rFonts w:hint="eastAsia" w:ascii="宋体" w:hAnsi="宋体" w:cs="宋体"/>
          <w:sz w:val="24"/>
        </w:rPr>
        <w:t>5、双方确认的法律文书、资料、函件的送达地址及送达人为：</w:t>
      </w:r>
    </w:p>
    <w:p>
      <w:pPr>
        <w:topLinePunct/>
        <w:spacing w:line="360" w:lineRule="auto"/>
        <w:ind w:firstLine="480" w:firstLineChars="200"/>
        <w:jc w:val="left"/>
        <w:rPr>
          <w:rFonts w:ascii="宋体" w:hAnsi="宋体" w:cs="宋体"/>
          <w:sz w:val="24"/>
        </w:rPr>
      </w:pPr>
      <w:r>
        <w:rPr>
          <w:rFonts w:hint="eastAsia" w:ascii="宋体" w:hAnsi="宋体" w:cs="宋体"/>
          <w:sz w:val="24"/>
        </w:rPr>
        <w:t>（1）甲方：湖南化工职业技术学院后勤处负责人</w:t>
      </w:r>
    </w:p>
    <w:p>
      <w:pPr>
        <w:topLinePunct/>
        <w:spacing w:line="360" w:lineRule="auto"/>
        <w:ind w:firstLine="480" w:firstLineChars="200"/>
        <w:jc w:val="left"/>
        <w:rPr>
          <w:rFonts w:ascii="宋体" w:hAnsi="宋体" w:cs="宋体"/>
          <w:sz w:val="24"/>
        </w:rPr>
      </w:pPr>
      <w:r>
        <w:rPr>
          <w:rFonts w:hint="eastAsia" w:ascii="宋体" w:hAnsi="宋体" w:cs="宋体"/>
          <w:sz w:val="24"/>
        </w:rPr>
        <w:t xml:space="preserve">（2）乙方： </w:t>
      </w:r>
    </w:p>
    <w:p>
      <w:pPr>
        <w:spacing w:line="360" w:lineRule="auto"/>
        <w:ind w:firstLine="480" w:firstLineChars="200"/>
        <w:rPr>
          <w:rFonts w:ascii="宋体" w:hAnsi="宋体" w:cs="宋体"/>
          <w:sz w:val="24"/>
        </w:rPr>
      </w:pPr>
      <w:r>
        <w:rPr>
          <w:rFonts w:hint="eastAsia" w:ascii="宋体" w:hAnsi="宋体" w:cs="宋体"/>
          <w:sz w:val="24"/>
        </w:rPr>
        <w:t>任何一方送达地址或送达人发生变更的，应书面通告另一方，否则，相对方依上述双方确认的地址、送达人而送达法律之文书、资料、函件等，均视为送达。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第九条 投标样品</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1、本项目需提供以下样品：多用排插（一个）、空气开关带漏保（一个）</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2、投标样品密封包装，包装盒内外不能有投标人、制造、销售厂商有关的标识（如厂名、品牌等），否则样品不计分。包装盒外注明项目编号、项目名称、样品名称、样品数量及规格。</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3、样品单独封装由采购人签收。所有样品必须在投标截止时间前提交，否则，采购人或采购代理机构依法拒收。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中标人的样品将由采购人按规定进行保管、封存，作为履约验收的参考依据之一。若中标人所供货物不对板，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5、与提供样品有关的一切费用由投标人自理。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6、采购人对投标人所递交样品的破损或质量不负任何责任，未中标的投标人样品招标人于开标活动结束后及时退还，3日内未领走的，采购人有权自行处置。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p>
    <w:p>
      <w:pPr>
        <w:pStyle w:val="18"/>
        <w:ind w:firstLine="482"/>
        <w:rPr>
          <w:rFonts w:ascii="黑体" w:hAnsi="黑体" w:eastAsia="黑体" w:cs="黑体"/>
          <w:b/>
          <w:color w:val="000000"/>
          <w:kern w:val="0"/>
          <w:sz w:val="24"/>
        </w:rPr>
      </w:pPr>
    </w:p>
    <w:p>
      <w:pPr>
        <w:rPr>
          <w:rFonts w:ascii="黑体" w:hAnsi="黑体" w:eastAsia="黑体" w:cs="黑体"/>
          <w:b/>
          <w:color w:val="000000"/>
          <w:kern w:val="0"/>
          <w:sz w:val="24"/>
        </w:rPr>
      </w:pPr>
    </w:p>
    <w:p>
      <w:pPr>
        <w:pStyle w:val="18"/>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topLinePunct/>
        <w:spacing w:line="360" w:lineRule="auto"/>
        <w:jc w:val="left"/>
        <w:rPr>
          <w:rFonts w:ascii="黑体" w:hAnsi="黑体" w:eastAsia="黑体" w:cs="黑体"/>
          <w:b/>
          <w:color w:val="000000"/>
          <w:kern w:val="0"/>
          <w:sz w:val="24"/>
        </w:rPr>
      </w:pPr>
    </w:p>
    <w:p>
      <w:pPr>
        <w:topLinePunct/>
        <w:spacing w:line="360" w:lineRule="auto"/>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7"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7"/>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8"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8"/>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7"/>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7"/>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tbl>
      <w:tblPr>
        <w:tblStyle w:val="19"/>
        <w:tblpPr w:leftFromText="180" w:rightFromText="180" w:vertAnchor="text" w:horzAnchor="page" w:tblpX="1961" w:tblpY="172"/>
        <w:tblOverlap w:val="never"/>
        <w:tblW w:w="8883" w:type="dxa"/>
        <w:tblInd w:w="0" w:type="dxa"/>
        <w:tblLayout w:type="fixed"/>
        <w:tblCellMar>
          <w:top w:w="0" w:type="dxa"/>
          <w:left w:w="108" w:type="dxa"/>
          <w:bottom w:w="0" w:type="dxa"/>
          <w:right w:w="108" w:type="dxa"/>
        </w:tblCellMar>
      </w:tblPr>
      <w:tblGrid>
        <w:gridCol w:w="798"/>
        <w:gridCol w:w="1150"/>
        <w:gridCol w:w="1160"/>
        <w:gridCol w:w="825"/>
        <w:gridCol w:w="825"/>
        <w:gridCol w:w="737"/>
        <w:gridCol w:w="663"/>
        <w:gridCol w:w="725"/>
        <w:gridCol w:w="800"/>
        <w:gridCol w:w="1200"/>
      </w:tblGrid>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物品名称</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规格型号</w:t>
            </w:r>
          </w:p>
        </w:tc>
        <w:tc>
          <w:tcPr>
            <w:tcW w:w="238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800" w:firstLineChars="400"/>
              <w:rPr>
                <w:rFonts w:ascii="宋体" w:hAnsi="宋体" w:cs="宋体"/>
                <w:color w:val="000000"/>
                <w:kern w:val="0"/>
                <w:sz w:val="20"/>
                <w:szCs w:val="20"/>
              </w:rPr>
            </w:pPr>
            <w:r>
              <w:rPr>
                <w:rFonts w:hint="eastAsia" w:ascii="宋体" w:hAnsi="宋体" w:cs="宋体"/>
                <w:color w:val="000000"/>
                <w:kern w:val="0"/>
                <w:sz w:val="20"/>
                <w:szCs w:val="20"/>
              </w:rPr>
              <w:t>品牌</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单位</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数量</w:t>
            </w:r>
          </w:p>
        </w:tc>
        <w:tc>
          <w:tcPr>
            <w:tcW w:w="8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报 价</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优惠率</w:t>
            </w: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T5 LED管</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16w  </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佛山照明</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松下</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支</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270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restart"/>
            <w:tcBorders>
              <w:top w:val="single" w:color="000000" w:sz="4" w:space="0"/>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3×4mm²</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4×10mm²+1×6mm²</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4×16mm²</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4×16mm²+1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5×2.5mm²</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5×4mm²</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5×10mm²</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金杯</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国标铜芯电缆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4×70+1×35mm²</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恒飞</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金湘</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多用排插</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403×5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公牛</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清风</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多用排插★</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403×3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公牛</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清风</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FF0000"/>
                <w:kern w:val="0"/>
                <w:sz w:val="22"/>
                <w:szCs w:val="22"/>
              </w:rPr>
              <w:t>20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多用排插</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603×3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公牛</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清风</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324"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多用排插</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605×5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公牛</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清风</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153</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空气开关带漏保★</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正泰2P/25A、63A</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正泰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德力西</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FF0000"/>
                <w:kern w:val="0"/>
                <w:sz w:val="22"/>
                <w:szCs w:val="22"/>
              </w:rPr>
              <w:t>50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bottom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T8 LED灯管</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18w</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支</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restart"/>
            <w:tcBorders>
              <w:top w:val="single" w:color="000000" w:sz="4" w:space="0"/>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LED吸顶灯</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28w</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400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LED平板灯</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600*600 55w</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FF0000"/>
                <w:kern w:val="0"/>
                <w:sz w:val="22"/>
                <w:szCs w:val="22"/>
              </w:rPr>
              <w:t>210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LED平板灯</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600*1200 120w</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LED模组光源</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18w</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西电</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三雄极光</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550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952"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落地扇</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52R400、</w:t>
            </w:r>
          </w:p>
          <w:p>
            <w:pPr>
              <w:widowControl/>
              <w:rPr>
                <w:rFonts w:ascii="宋体" w:hAnsi="宋体" w:cs="宋体"/>
                <w:color w:val="000000"/>
                <w:kern w:val="0"/>
                <w:sz w:val="20"/>
                <w:szCs w:val="20"/>
              </w:rPr>
            </w:pPr>
            <w:r>
              <w:rPr>
                <w:rFonts w:hint="eastAsia" w:ascii="宋体" w:hAnsi="宋体" w:cs="宋体"/>
                <w:color w:val="000000"/>
                <w:kern w:val="0"/>
                <w:sz w:val="20"/>
                <w:szCs w:val="20"/>
              </w:rPr>
              <w:t>带遥控、纯铜电机</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艾美特</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美的</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格力</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FF0000"/>
                <w:kern w:val="0"/>
                <w:sz w:val="20"/>
                <w:szCs w:val="20"/>
              </w:rPr>
              <w:t>40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吸顶扇</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纯铜电机 18寸</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飞行</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美的</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钻石</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520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638"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吊扇</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纯铜电机、48寸</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飞行</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美的</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钻石</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120</w:t>
            </w:r>
          </w:p>
        </w:tc>
        <w:tc>
          <w:tcPr>
            <w:tcW w:w="800" w:type="dxa"/>
            <w:tcBorders>
              <w:top w:val="single" w:color="000000" w:sz="4" w:space="0"/>
              <w:left w:val="single" w:color="000000" w:sz="4" w:space="0"/>
              <w:bottom w:val="single" w:color="000000" w:sz="4" w:space="0"/>
              <w:right w:val="single" w:color="000000" w:sz="4" w:space="0"/>
            </w:tcBorders>
          </w:tcPr>
          <w:p>
            <w:pPr>
              <w:rPr>
                <w:rFonts w:ascii="Calibri" w:hAnsi="Calibri"/>
                <w:sz w:val="20"/>
                <w:szCs w:val="20"/>
              </w:rPr>
            </w:pPr>
          </w:p>
        </w:tc>
        <w:tc>
          <w:tcPr>
            <w:tcW w:w="1200" w:type="dxa"/>
            <w:vMerge w:val="continue"/>
            <w:tcBorders>
              <w:left w:val="single" w:color="000000" w:sz="4" w:space="0"/>
              <w:bottom w:val="single" w:color="000000" w:sz="4" w:space="0"/>
              <w:right w:val="single" w:color="000000" w:sz="4" w:space="0"/>
            </w:tcBorders>
            <w:shd w:val="clear" w:color="auto" w:fill="auto"/>
            <w:noWrap/>
            <w:vAlign w:val="center"/>
          </w:tcPr>
          <w:p>
            <w:pPr>
              <w:rPr>
                <w:rFonts w:ascii="Calibri" w:hAnsi="Calibri"/>
                <w:sz w:val="20"/>
                <w:szCs w:val="20"/>
              </w:rPr>
            </w:pPr>
          </w:p>
        </w:tc>
      </w:tr>
      <w:tr>
        <w:tblPrEx>
          <w:tblCellMar>
            <w:top w:w="0" w:type="dxa"/>
            <w:left w:w="108" w:type="dxa"/>
            <w:bottom w:w="0" w:type="dxa"/>
            <w:right w:w="108" w:type="dxa"/>
          </w:tblCellMar>
        </w:tblPrEx>
        <w:trPr>
          <w:trHeight w:val="787"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p>
            <w:pPr>
              <w:widowControl/>
              <w:jc w:val="center"/>
              <w:rPr>
                <w:rFonts w:ascii="宋体" w:hAnsi="宋体" w:cs="宋体"/>
                <w:color w:val="000000"/>
                <w:kern w:val="0"/>
                <w:sz w:val="22"/>
                <w:szCs w:val="22"/>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优惠后报价汇总/元</w:t>
            </w:r>
          </w:p>
        </w:tc>
        <w:tc>
          <w:tcPr>
            <w:tcW w:w="1160" w:type="dxa"/>
            <w:tcBorders>
              <w:top w:val="single" w:color="000000" w:sz="4" w:space="0"/>
              <w:left w:val="single" w:color="000000" w:sz="4" w:space="0"/>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825" w:type="dxa"/>
            <w:tcBorders>
              <w:top w:val="single" w:color="000000" w:sz="4" w:space="0"/>
              <w:left w:val="nil"/>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825" w:type="dxa"/>
            <w:tcBorders>
              <w:top w:val="single" w:color="000000" w:sz="4" w:space="0"/>
              <w:left w:val="nil"/>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737" w:type="dxa"/>
            <w:tcBorders>
              <w:top w:val="single" w:color="000000" w:sz="4" w:space="0"/>
              <w:left w:val="nil"/>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663" w:type="dxa"/>
            <w:tcBorders>
              <w:top w:val="single" w:color="000000" w:sz="4" w:space="0"/>
              <w:left w:val="nil"/>
              <w:bottom w:val="single" w:color="000000" w:sz="4" w:space="0"/>
              <w:right w:val="nil"/>
            </w:tcBorders>
            <w:shd w:val="clear" w:color="auto" w:fill="auto"/>
            <w:noWrap/>
            <w:vAlign w:val="center"/>
          </w:tcPr>
          <w:p>
            <w:pPr>
              <w:widowControl/>
              <w:jc w:val="center"/>
              <w:rPr>
                <w:rFonts w:ascii="宋体" w:hAnsi="宋体" w:cs="宋体"/>
                <w:color w:val="000000"/>
                <w:kern w:val="0"/>
                <w:sz w:val="20"/>
                <w:szCs w:val="20"/>
              </w:rPr>
            </w:pPr>
          </w:p>
        </w:tc>
        <w:tc>
          <w:tcPr>
            <w:tcW w:w="725" w:type="dxa"/>
            <w:tcBorders>
              <w:top w:val="single" w:color="000000" w:sz="4" w:space="0"/>
              <w:left w:val="nil"/>
              <w:bottom w:val="single" w:color="000000" w:sz="4" w:space="0"/>
              <w:right w:val="nil"/>
            </w:tcBorders>
          </w:tcPr>
          <w:p>
            <w:pPr>
              <w:widowControl/>
              <w:jc w:val="center"/>
              <w:rPr>
                <w:rFonts w:ascii="宋体" w:hAnsi="宋体" w:cs="宋体"/>
                <w:color w:val="000000"/>
                <w:kern w:val="0"/>
                <w:sz w:val="20"/>
                <w:szCs w:val="20"/>
              </w:rPr>
            </w:pPr>
          </w:p>
        </w:tc>
        <w:tc>
          <w:tcPr>
            <w:tcW w:w="800" w:type="dxa"/>
            <w:tcBorders>
              <w:top w:val="single" w:color="000000" w:sz="4" w:space="0"/>
              <w:left w:val="nil"/>
              <w:bottom w:val="single" w:color="000000" w:sz="4" w:space="0"/>
              <w:right w:val="nil"/>
            </w:tcBorders>
          </w:tcPr>
          <w:p>
            <w:pPr>
              <w:rPr>
                <w:rFonts w:ascii="Calibri" w:hAnsi="Calibri"/>
                <w:sz w:val="20"/>
                <w:szCs w:val="20"/>
              </w:rPr>
            </w:pP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pPr>
              <w:rPr>
                <w:rFonts w:ascii="Calibri" w:hAnsi="Calibri"/>
                <w:sz w:val="20"/>
                <w:szCs w:val="20"/>
              </w:rPr>
            </w:pPr>
          </w:p>
        </w:tc>
      </w:tr>
    </w:tbl>
    <w:p>
      <w:pPr>
        <w:widowControl/>
        <w:spacing w:line="380" w:lineRule="exact"/>
        <w:jc w:val="left"/>
        <w:rPr>
          <w:rFonts w:ascii="宋体" w:hAnsi="宋体" w:cs="宋体"/>
          <w:color w:val="000000"/>
          <w:sz w:val="24"/>
        </w:rPr>
      </w:pPr>
    </w:p>
    <w:p>
      <w:pPr>
        <w:widowControl/>
        <w:spacing w:line="380" w:lineRule="exact"/>
        <w:jc w:val="left"/>
        <w:rPr>
          <w:rFonts w:ascii="宋体" w:hAnsi="宋体" w:cs="宋体"/>
          <w:color w:val="000000"/>
          <w:sz w:val="24"/>
        </w:rPr>
      </w:pPr>
    </w:p>
    <w:p>
      <w:pPr>
        <w:widowControl/>
        <w:spacing w:line="480" w:lineRule="auto"/>
        <w:ind w:firstLine="480" w:firstLineChars="200"/>
        <w:jc w:val="left"/>
        <w:rPr>
          <w:rFonts w:ascii="宋体" w:hAnsi="宋体" w:cs="宋体"/>
          <w:color w:val="FF0000"/>
          <w:sz w:val="24"/>
        </w:rPr>
      </w:pPr>
      <w:r>
        <w:rPr>
          <w:rFonts w:hint="eastAsia" w:ascii="宋体" w:hAnsi="宋体" w:cs="宋体"/>
          <w:color w:val="FF0000"/>
          <w:sz w:val="24"/>
        </w:rPr>
        <w:t>说明：分项报价为优惠之前的原价。优惠报价汇总=∑</w:t>
      </w:r>
      <w:bookmarkStart w:id="9" w:name="_Hlk169257066"/>
      <w:r>
        <w:rPr>
          <w:rFonts w:hint="eastAsia" w:ascii="宋体" w:hAnsi="宋体" w:cs="宋体"/>
          <w:color w:val="FF0000"/>
          <w:sz w:val="24"/>
        </w:rPr>
        <w:t>[分项报价×（1-优惠率）]</w:t>
      </w:r>
      <w:bookmarkEnd w:id="9"/>
    </w:p>
    <w:p>
      <w:pPr>
        <w:widowControl/>
        <w:spacing w:line="480" w:lineRule="auto"/>
        <w:ind w:firstLine="480" w:firstLineChars="200"/>
        <w:jc w:val="left"/>
        <w:rPr>
          <w:rFonts w:ascii="宋体" w:hAnsi="宋体" w:cs="宋体"/>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0"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0"/>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pStyle w:val="18"/>
        <w:ind w:firstLine="482"/>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2"/>
      </w:pPr>
    </w:p>
    <w:p/>
    <w:p>
      <w:pPr>
        <w:pStyle w:val="2"/>
      </w:pPr>
    </w:p>
    <w:p/>
    <w:p>
      <w:pPr>
        <w:pStyle w:val="2"/>
      </w:pPr>
    </w:p>
    <w:p/>
    <w:p>
      <w:pPr>
        <w:pStyle w:val="2"/>
      </w:pPr>
    </w:p>
    <w:p/>
    <w:p>
      <w:pPr>
        <w:pStyle w:val="18"/>
        <w:ind w:left="0" w:leftChars="0" w:firstLine="0" w:firstLineChars="0"/>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8"/>
        <w:tabs>
          <w:tab w:val="left" w:pos="3420"/>
        </w:tabs>
        <w:rPr>
          <w:rFonts w:ascii="宋体" w:hAnsi="宋体"/>
          <w:bCs/>
          <w:szCs w:val="21"/>
        </w:rPr>
      </w:pPr>
    </w:p>
    <w:p>
      <w:pPr>
        <w:pStyle w:val="6"/>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6"/>
        <w:rPr>
          <w:rFonts w:hAnsi="黑体" w:cs="黑体"/>
          <w:b/>
          <w:color w:val="000000"/>
          <w:sz w:val="24"/>
        </w:rPr>
      </w:pPr>
    </w:p>
    <w:p>
      <w:pPr>
        <w:pStyle w:val="6"/>
        <w:rPr>
          <w:rFonts w:hAnsi="黑体" w:cs="黑体"/>
          <w:b/>
          <w:color w:val="000000"/>
          <w:sz w:val="24"/>
        </w:rPr>
      </w:pPr>
    </w:p>
    <w:p>
      <w:pPr>
        <w:pStyle w:val="6"/>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1" w:name="OLE_LINK1"/>
      <w:r>
        <w:rPr>
          <w:rFonts w:hint="eastAsia" w:ascii="宋体" w:hAnsi="宋体" w:cs="宋体"/>
          <w:sz w:val="24"/>
        </w:rPr>
        <w:t>盖投标单位公章</w:t>
      </w:r>
      <w:bookmarkEnd w:id="11"/>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6"/>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2" w:name="OLE_LINK3"/>
      <w:r>
        <w:rPr>
          <w:rFonts w:hint="eastAsia" w:ascii="宋体" w:hAnsi="宋体" w:cs="宋体"/>
          <w:sz w:val="24"/>
        </w:rPr>
        <w:t>投标单位</w:t>
      </w:r>
      <w:bookmarkEnd w:id="12"/>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10会议室，由工作人员登记。投标时间截止后，逾期送达的投标书将被招标单位拒收，其投标书为无效投标书。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8"/>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3" w:name="_Hlk160818547"/>
      <w:r>
        <w:rPr>
          <w:rFonts w:hint="eastAsia" w:ascii="仿宋" w:hAnsi="仿宋" w:eastAsia="仿宋" w:cs="仿宋"/>
          <w:b/>
          <w:bCs/>
          <w:sz w:val="28"/>
          <w:szCs w:val="28"/>
        </w:rPr>
        <w:t>评分标准</w:t>
      </w:r>
      <w:bookmarkEnd w:id="13"/>
    </w:p>
    <w:tbl>
      <w:tblPr>
        <w:tblStyle w:val="19"/>
        <w:tblW w:w="10194"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503"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 xml:space="preserve">以经评审满足比选文件要求且投标价格最低的投标报价（折扣率最低）为评标基准价，其价格得分计30分。其他供应商的价格得分统一按公式计算：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spacing w:line="400" w:lineRule="exact"/>
              <w:jc w:val="center"/>
              <w:rPr>
                <w:rFonts w:hAnsi="仿宋_GB2312" w:cs="仿宋_GB2312"/>
                <w:sz w:val="24"/>
              </w:rPr>
            </w:pPr>
            <w:r>
              <w:rPr>
                <w:rFonts w:hint="eastAsia" w:hAnsi="仿宋_GB2312" w:cs="仿宋_GB2312"/>
                <w:sz w:val="24"/>
              </w:rPr>
              <w:t>样品评价 1（多用排插）</w:t>
            </w:r>
          </w:p>
          <w:p>
            <w:pPr>
              <w:pStyle w:val="2"/>
            </w:pPr>
            <w:r>
              <w:rPr>
                <w:rFonts w:hint="eastAsia" w:hAnsi="仿宋_GB2312" w:cs="仿宋_GB2312"/>
                <w:sz w:val="24"/>
              </w:rPr>
              <w:t>（10分）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1、所投“多用排插”提供成品样品。</w:t>
            </w:r>
          </w:p>
          <w:p>
            <w:pPr>
              <w:spacing w:line="400" w:lineRule="exact"/>
              <w:jc w:val="left"/>
              <w:rPr>
                <w:rFonts w:hAnsi="仿宋_GB2312" w:cs="仿宋_GB2312"/>
                <w:sz w:val="24"/>
              </w:rPr>
            </w:pPr>
            <w:r>
              <w:rPr>
                <w:rFonts w:hint="eastAsia" w:hAnsi="仿宋_GB2312" w:cs="仿宋_GB2312"/>
                <w:sz w:val="24"/>
              </w:rPr>
              <w:t>评委会根据投标人提供的样品，从样品的外观、工艺、材质等各项因素进行综合评定：</w:t>
            </w:r>
          </w:p>
          <w:p>
            <w:pPr>
              <w:spacing w:line="400" w:lineRule="exact"/>
              <w:jc w:val="left"/>
              <w:rPr>
                <w:rFonts w:hAnsi="仿宋_GB2312" w:cs="仿宋_GB2312"/>
                <w:sz w:val="24"/>
              </w:rPr>
            </w:pPr>
            <w:r>
              <w:rPr>
                <w:rFonts w:hint="eastAsia" w:hAnsi="仿宋_GB2312" w:cs="仿宋_GB2312"/>
                <w:sz w:val="24"/>
              </w:rPr>
              <w:t>（1）样品外观精致无瑕疵、工艺制作好、细节处理得当、触感舒适的计10分；</w:t>
            </w:r>
          </w:p>
          <w:p>
            <w:pPr>
              <w:spacing w:line="400" w:lineRule="exact"/>
              <w:jc w:val="left"/>
              <w:rPr>
                <w:rFonts w:hAnsi="仿宋_GB2312" w:cs="仿宋_GB2312"/>
                <w:sz w:val="24"/>
              </w:rPr>
            </w:pPr>
            <w:r>
              <w:rPr>
                <w:rFonts w:hint="eastAsia" w:hAnsi="仿宋_GB2312" w:cs="仿宋_GB2312"/>
                <w:sz w:val="24"/>
              </w:rPr>
              <w:t>（2）样品外观略有瑕疵、工艺制作一般，细节处理一般，触感一般的计7分；</w:t>
            </w:r>
          </w:p>
          <w:p>
            <w:pPr>
              <w:spacing w:line="400" w:lineRule="exact"/>
              <w:jc w:val="left"/>
              <w:rPr>
                <w:rFonts w:hAnsi="仿宋_GB2312" w:cs="仿宋_GB2312"/>
                <w:sz w:val="24"/>
              </w:rPr>
            </w:pPr>
            <w:r>
              <w:rPr>
                <w:rFonts w:hint="eastAsia" w:hAnsi="仿宋_GB2312" w:cs="仿宋_GB2312"/>
                <w:sz w:val="24"/>
              </w:rPr>
              <w:t>（3）样品外观有明显瑕疵、工艺制作较差，细节处理不妥，触感差的计4分。</w:t>
            </w:r>
          </w:p>
          <w:p>
            <w:pPr>
              <w:spacing w:line="400" w:lineRule="exact"/>
              <w:jc w:val="left"/>
              <w:rPr>
                <w:rFonts w:hAnsi="仿宋_GB2312" w:cs="仿宋_GB2312"/>
                <w:sz w:val="24"/>
              </w:rPr>
            </w:pPr>
            <w:r>
              <w:rPr>
                <w:rFonts w:hint="eastAsia" w:hAnsi="仿宋_GB2312" w:cs="仿宋_GB2312"/>
                <w:sz w:val="24"/>
              </w:rPr>
              <w:t>（4）未提供样品或提供不全的计0分。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spacing w:line="400" w:lineRule="exact"/>
              <w:jc w:val="center"/>
              <w:rPr>
                <w:rFonts w:hAnsi="仿宋_GB2312" w:cs="仿宋_GB2312"/>
                <w:sz w:val="24"/>
              </w:rPr>
            </w:pPr>
            <w:r>
              <w:rPr>
                <w:rFonts w:hint="eastAsia" w:hAnsi="仿宋_GB2312" w:cs="仿宋_GB2312"/>
                <w:sz w:val="24"/>
              </w:rPr>
              <w:t>样品评价 2（空气开关带漏保）</w:t>
            </w:r>
          </w:p>
          <w:p>
            <w:pPr>
              <w:pStyle w:val="2"/>
            </w:pPr>
            <w:r>
              <w:rPr>
                <w:rFonts w:hint="eastAsia" w:hAnsi="仿宋_GB2312" w:cs="仿宋_GB2312"/>
                <w:sz w:val="24"/>
              </w:rPr>
              <w:t>（10分）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2、所投“空气开关带漏保”提供成品样品。</w:t>
            </w:r>
          </w:p>
          <w:p>
            <w:pPr>
              <w:spacing w:line="400" w:lineRule="exact"/>
              <w:jc w:val="left"/>
              <w:rPr>
                <w:rFonts w:hAnsi="仿宋_GB2312" w:cs="仿宋_GB2312"/>
                <w:sz w:val="24"/>
              </w:rPr>
            </w:pPr>
            <w:r>
              <w:rPr>
                <w:rFonts w:hint="eastAsia" w:hAnsi="仿宋_GB2312" w:cs="仿宋_GB2312"/>
                <w:sz w:val="24"/>
              </w:rPr>
              <w:t>评委会根据投标人提供的样品，从样品的外观、工艺、材质等各项因素进行综合评定：</w:t>
            </w:r>
          </w:p>
          <w:p>
            <w:pPr>
              <w:spacing w:line="400" w:lineRule="exact"/>
              <w:jc w:val="left"/>
              <w:rPr>
                <w:rFonts w:hAnsi="仿宋_GB2312" w:cs="仿宋_GB2312"/>
                <w:sz w:val="24"/>
              </w:rPr>
            </w:pPr>
            <w:r>
              <w:rPr>
                <w:rFonts w:hint="eastAsia" w:hAnsi="仿宋_GB2312" w:cs="仿宋_GB2312"/>
                <w:sz w:val="24"/>
              </w:rPr>
              <w:t>（1）样品外观精致无瑕疵、工艺制作好、细节处理得当、触感优质的计10分；</w:t>
            </w:r>
          </w:p>
          <w:p>
            <w:pPr>
              <w:spacing w:line="400" w:lineRule="exact"/>
              <w:jc w:val="left"/>
              <w:rPr>
                <w:rFonts w:hAnsi="仿宋_GB2312" w:cs="仿宋_GB2312"/>
                <w:sz w:val="24"/>
              </w:rPr>
            </w:pPr>
            <w:r>
              <w:rPr>
                <w:rFonts w:hint="eastAsia" w:hAnsi="仿宋_GB2312" w:cs="仿宋_GB2312"/>
                <w:sz w:val="24"/>
              </w:rPr>
              <w:t>（2）样品外观略有瑕疵、工艺制作一般，细节处理一般，触感一般的计7分；</w:t>
            </w:r>
          </w:p>
          <w:p>
            <w:pPr>
              <w:spacing w:line="400" w:lineRule="exact"/>
              <w:jc w:val="left"/>
              <w:rPr>
                <w:rFonts w:hAnsi="仿宋_GB2312" w:cs="仿宋_GB2312"/>
                <w:sz w:val="24"/>
              </w:rPr>
            </w:pPr>
            <w:r>
              <w:rPr>
                <w:rFonts w:hint="eastAsia" w:hAnsi="仿宋_GB2312" w:cs="仿宋_GB2312"/>
                <w:sz w:val="24"/>
              </w:rPr>
              <w:t>（3）样品外观有明显瑕疵、工艺制作较差，细节处理不妥，触感差的计4分。</w:t>
            </w:r>
          </w:p>
          <w:p>
            <w:pPr>
              <w:spacing w:line="400" w:lineRule="exact"/>
              <w:jc w:val="left"/>
              <w:rPr>
                <w:rFonts w:hAnsi="仿宋_GB2312" w:cs="仿宋_GB2312"/>
                <w:sz w:val="24"/>
              </w:rPr>
            </w:pPr>
            <w:r>
              <w:rPr>
                <w:rFonts w:hint="eastAsia" w:hAnsi="仿宋_GB2312" w:cs="仿宋_GB2312"/>
                <w:sz w:val="24"/>
              </w:rPr>
              <w:t>（4）未提供样品或提供不全的计0分。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配送服务方案（20分）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根据投标人提供的配送服务方案(包括但不限于配送服务流程、配送便利性、配送人员安排、配送车辆安排等)进行综合评审:</w:t>
            </w:r>
          </w:p>
          <w:p>
            <w:pPr>
              <w:spacing w:line="400" w:lineRule="exact"/>
              <w:jc w:val="left"/>
              <w:rPr>
                <w:rFonts w:hAnsi="仿宋_GB2312" w:cs="仿宋_GB2312"/>
                <w:sz w:val="24"/>
              </w:rPr>
            </w:pPr>
            <w:r>
              <w:rPr>
                <w:rFonts w:hint="eastAsia" w:hAnsi="仿宋_GB2312" w:cs="仿宋_GB2312"/>
                <w:sz w:val="24"/>
              </w:rPr>
              <w:t>1.</w:t>
            </w:r>
            <w:r>
              <w:rPr>
                <w:rFonts w:hint="eastAsia" w:hAnsi="仿宋_GB2312" w:cs="仿宋_GB2312"/>
                <w:sz w:val="24"/>
              </w:rPr>
              <w:tab/>
            </w:r>
            <w:r>
              <w:rPr>
                <w:rFonts w:hint="eastAsia" w:hAnsi="仿宋_GB2312" w:cs="仿宋_GB2312"/>
                <w:sz w:val="24"/>
              </w:rPr>
              <w:t>配送服务方案，全面细致、内容完整、科学合理、针对性强，完全满足且优于用户需求，计 20分；</w:t>
            </w:r>
          </w:p>
          <w:p>
            <w:pPr>
              <w:spacing w:line="400" w:lineRule="exact"/>
              <w:jc w:val="left"/>
              <w:rPr>
                <w:rFonts w:hAnsi="仿宋_GB2312" w:cs="仿宋_GB2312"/>
                <w:sz w:val="24"/>
              </w:rPr>
            </w:pPr>
            <w:r>
              <w:rPr>
                <w:rFonts w:hint="eastAsia" w:hAnsi="仿宋_GB2312" w:cs="仿宋_GB2312"/>
                <w:sz w:val="24"/>
              </w:rPr>
              <w:t>2.配送服务方案，较为详细具体，内容较完整、较科学合理、针对性较强，满足用户需求，计 15分；</w:t>
            </w:r>
          </w:p>
          <w:p>
            <w:pPr>
              <w:spacing w:line="400" w:lineRule="exact"/>
              <w:jc w:val="left"/>
              <w:rPr>
                <w:rFonts w:hAnsi="仿宋_GB2312" w:cs="仿宋_GB2312"/>
                <w:sz w:val="24"/>
              </w:rPr>
            </w:pPr>
            <w:r>
              <w:rPr>
                <w:rFonts w:hint="eastAsia" w:hAnsi="仿宋_GB2312" w:cs="仿宋_GB2312"/>
                <w:sz w:val="24"/>
              </w:rPr>
              <w:t>3.配送服务方案，简单、欠完善，针对性一般的,不能完全满足 用户需求，计10分；</w:t>
            </w:r>
          </w:p>
          <w:p>
            <w:pPr>
              <w:spacing w:line="400" w:lineRule="exact"/>
              <w:jc w:val="left"/>
              <w:rPr>
                <w:rFonts w:hAnsi="仿宋_GB2312" w:cs="仿宋_GB2312"/>
                <w:sz w:val="24"/>
              </w:rPr>
            </w:pPr>
            <w:r>
              <w:rPr>
                <w:rFonts w:hint="eastAsia" w:hAnsi="仿宋_GB2312" w:cs="仿宋_GB2312"/>
                <w:sz w:val="24"/>
              </w:rPr>
              <w:t>4.此项未提供或不合理的计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售后服务保障（9分）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根据投标人针对本项目提出的项目售后服务方案，内容包含但不限于：服务机构设置、服务响应时间、售后服务团队配置、服务流程、免费质保期等进行综合评审：</w:t>
            </w:r>
          </w:p>
          <w:p>
            <w:pPr>
              <w:spacing w:line="400" w:lineRule="exact"/>
              <w:jc w:val="left"/>
              <w:rPr>
                <w:rFonts w:hAnsi="仿宋_GB2312" w:cs="仿宋_GB2312"/>
                <w:sz w:val="24"/>
              </w:rPr>
            </w:pPr>
            <w:r>
              <w:rPr>
                <w:rFonts w:hint="eastAsia" w:hAnsi="仿宋_GB2312" w:cs="仿宋_GB2312"/>
                <w:sz w:val="24"/>
              </w:rPr>
              <w:t>1.售后保障措施完善、服务机构设置便利、服务响应时间及时高效、售后服务团队配置合理、服务流程规范、合理。计 9 分；</w:t>
            </w:r>
          </w:p>
          <w:p>
            <w:pPr>
              <w:spacing w:line="400" w:lineRule="exact"/>
              <w:jc w:val="left"/>
              <w:rPr>
                <w:rFonts w:hAnsi="仿宋_GB2312" w:cs="仿宋_GB2312"/>
                <w:sz w:val="24"/>
              </w:rPr>
            </w:pPr>
            <w:r>
              <w:rPr>
                <w:rFonts w:hint="eastAsia" w:hAnsi="仿宋_GB2312" w:cs="仿宋_GB2312"/>
                <w:sz w:val="24"/>
              </w:rPr>
              <w:t>2.售后保障措施较完善、服务机构设置较 便利、服务响应时间较及时、售后服务团队配置较合理、服务流程专业迅速较合理、规范的，计 6 分；</w:t>
            </w:r>
          </w:p>
          <w:p>
            <w:pPr>
              <w:spacing w:line="400" w:lineRule="exact"/>
              <w:jc w:val="left"/>
              <w:rPr>
                <w:rFonts w:hAnsi="仿宋_GB2312" w:cs="仿宋_GB2312"/>
                <w:sz w:val="24"/>
              </w:rPr>
            </w:pPr>
            <w:r>
              <w:rPr>
                <w:rFonts w:hint="eastAsia" w:hAnsi="仿宋_GB2312" w:cs="仿宋_GB2312"/>
                <w:sz w:val="24"/>
              </w:rPr>
              <w:t>3.售后保障措施一般、服务机构设置欠便利、服务响应时间慢、售后服务团队配置一 般、服务流程欠合理、规范的，计 3 分；</w:t>
            </w:r>
          </w:p>
          <w:p>
            <w:pPr>
              <w:spacing w:line="400" w:lineRule="exact"/>
              <w:jc w:val="left"/>
              <w:rPr>
                <w:rFonts w:hAnsi="仿宋_GB2312" w:cs="仿宋_GB2312"/>
                <w:sz w:val="24"/>
              </w:rPr>
            </w:pPr>
            <w:r>
              <w:rPr>
                <w:rFonts w:hint="eastAsia" w:hAnsi="仿宋_GB2312" w:cs="仿宋_GB2312"/>
                <w:sz w:val="24"/>
              </w:rPr>
              <w:t xml:space="preserve"> 4.此项未提供或不合理的计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退换货方案（5分）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根据供应商提供的出现产品质量问题退换货方案（包含：退换流程或紧急需求）及措施，方案内容完整，有很强的可行性，退换流程简洁有效、能在1小时内送达的的计5分；方案内容较完整，有较强的可行性，退换流程较简洁、在2小时内送达的计3分；方案内容有欠缺，可行性一般，退换流程复杂、在3小时内送达的的计1分；未提供的不计分。</w:t>
            </w:r>
          </w:p>
          <w:p>
            <w:pPr>
              <w:spacing w:line="400" w:lineRule="exact"/>
              <w:jc w:val="left"/>
              <w:rPr>
                <w:rFonts w:hAnsi="仿宋_GB2312" w:cs="仿宋_GB2312"/>
                <w:sz w:val="24"/>
              </w:rPr>
            </w:pPr>
            <w:r>
              <w:rPr>
                <w:rFonts w:hint="eastAsia" w:hAnsi="仿宋_GB2312" w:cs="仿宋_GB2312"/>
                <w:sz w:val="24"/>
              </w:rPr>
              <w:t>注：（提供从供应商到采购人指定配送地点导航截图及承诺书原件扫描件，并加盖供应商公章，否则不计分。）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类似业绩（16）</w:t>
            </w:r>
          </w:p>
        </w:tc>
        <w:tc>
          <w:tcPr>
            <w:tcW w:w="8503" w:type="dxa"/>
            <w:vAlign w:val="center"/>
          </w:tcPr>
          <w:p>
            <w:pPr>
              <w:spacing w:line="400" w:lineRule="exact"/>
              <w:jc w:val="left"/>
              <w:rPr>
                <w:rFonts w:hAnsi="仿宋_GB2312" w:cs="仿宋_GB2312"/>
                <w:sz w:val="24"/>
              </w:rPr>
            </w:pPr>
            <w:r>
              <w:rPr>
                <w:rFonts w:hint="eastAsia" w:hAnsi="仿宋_GB2312" w:cs="仿宋_GB2312"/>
                <w:sz w:val="24"/>
              </w:rPr>
              <w:t>根据各投标人近三年来（2021年5月至投标截止时间）承接过的类似项目进行评价，每提供一个类似项目业绩的计4分，本项最多计16分。</w:t>
            </w:r>
          </w:p>
          <w:p>
            <w:pPr>
              <w:spacing w:line="400" w:lineRule="exact"/>
              <w:jc w:val="left"/>
              <w:rPr>
                <w:rFonts w:hAnsi="仿宋_GB2312" w:cs="仿宋_GB2312"/>
                <w:sz w:val="24"/>
              </w:rPr>
            </w:pPr>
            <w:r>
              <w:rPr>
                <w:rFonts w:hint="eastAsia" w:hAnsi="仿宋_GB2312" w:cs="仿宋_GB2312"/>
                <w:sz w:val="24"/>
              </w:rPr>
              <w:t>注：需提供类似业绩项目合同复印件并加盖公章，否则不计分。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503"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B4AC9"/>
    <w:rsid w:val="000C0006"/>
    <w:rsid w:val="000C2AAD"/>
    <w:rsid w:val="000C4FCD"/>
    <w:rsid w:val="000C7B07"/>
    <w:rsid w:val="000D17C4"/>
    <w:rsid w:val="000D2C1F"/>
    <w:rsid w:val="000E208E"/>
    <w:rsid w:val="000E22D8"/>
    <w:rsid w:val="000E2FCA"/>
    <w:rsid w:val="000E3EB7"/>
    <w:rsid w:val="000E6B0E"/>
    <w:rsid w:val="000F59A8"/>
    <w:rsid w:val="00103E0F"/>
    <w:rsid w:val="001041D4"/>
    <w:rsid w:val="001056D9"/>
    <w:rsid w:val="001111B1"/>
    <w:rsid w:val="001112DE"/>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2598"/>
    <w:rsid w:val="004A47B4"/>
    <w:rsid w:val="004A4A1C"/>
    <w:rsid w:val="004B69EE"/>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B274D"/>
    <w:rsid w:val="006B5265"/>
    <w:rsid w:val="006C0664"/>
    <w:rsid w:val="006E407C"/>
    <w:rsid w:val="006F43C4"/>
    <w:rsid w:val="00700865"/>
    <w:rsid w:val="00706CE7"/>
    <w:rsid w:val="00711BA2"/>
    <w:rsid w:val="00712128"/>
    <w:rsid w:val="00712F84"/>
    <w:rsid w:val="007154F1"/>
    <w:rsid w:val="00722BBF"/>
    <w:rsid w:val="00731F69"/>
    <w:rsid w:val="00743CAF"/>
    <w:rsid w:val="00750DC3"/>
    <w:rsid w:val="0077399D"/>
    <w:rsid w:val="00773AC8"/>
    <w:rsid w:val="00785A55"/>
    <w:rsid w:val="007A6C65"/>
    <w:rsid w:val="007B01B3"/>
    <w:rsid w:val="007B05D1"/>
    <w:rsid w:val="007C7C41"/>
    <w:rsid w:val="007D2559"/>
    <w:rsid w:val="007D4892"/>
    <w:rsid w:val="007D6D66"/>
    <w:rsid w:val="007D6E0E"/>
    <w:rsid w:val="007E0833"/>
    <w:rsid w:val="00801062"/>
    <w:rsid w:val="0080583D"/>
    <w:rsid w:val="0081046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70139"/>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44B14"/>
    <w:rsid w:val="00B52059"/>
    <w:rsid w:val="00B56A7F"/>
    <w:rsid w:val="00B60011"/>
    <w:rsid w:val="00B66748"/>
    <w:rsid w:val="00B7493C"/>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564A"/>
    <w:rsid w:val="00D069B4"/>
    <w:rsid w:val="00D159D5"/>
    <w:rsid w:val="00D1625A"/>
    <w:rsid w:val="00D379A2"/>
    <w:rsid w:val="00D42DED"/>
    <w:rsid w:val="00D70A69"/>
    <w:rsid w:val="00D75527"/>
    <w:rsid w:val="00D80103"/>
    <w:rsid w:val="00D85CA0"/>
    <w:rsid w:val="00D93253"/>
    <w:rsid w:val="00D9421F"/>
    <w:rsid w:val="00DA061F"/>
    <w:rsid w:val="00DA340E"/>
    <w:rsid w:val="00DA67B2"/>
    <w:rsid w:val="00DB2CAE"/>
    <w:rsid w:val="00DB5AB0"/>
    <w:rsid w:val="00DF2E12"/>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093926A6"/>
    <w:rsid w:val="0A342E6E"/>
    <w:rsid w:val="0C446C4A"/>
    <w:rsid w:val="0D3317AF"/>
    <w:rsid w:val="106F57C5"/>
    <w:rsid w:val="111451B1"/>
    <w:rsid w:val="11AA79EB"/>
    <w:rsid w:val="11D80CE5"/>
    <w:rsid w:val="12476873"/>
    <w:rsid w:val="145F6D78"/>
    <w:rsid w:val="14ED3D4F"/>
    <w:rsid w:val="15DD1DF8"/>
    <w:rsid w:val="18277578"/>
    <w:rsid w:val="19996254"/>
    <w:rsid w:val="1B943177"/>
    <w:rsid w:val="1C0E2CEB"/>
    <w:rsid w:val="1C6019B5"/>
    <w:rsid w:val="1CB15175"/>
    <w:rsid w:val="1D4871EB"/>
    <w:rsid w:val="1DED3012"/>
    <w:rsid w:val="1E0E5DBB"/>
    <w:rsid w:val="1E6A6074"/>
    <w:rsid w:val="21482DD7"/>
    <w:rsid w:val="215D592A"/>
    <w:rsid w:val="24AC4A25"/>
    <w:rsid w:val="263F4742"/>
    <w:rsid w:val="26A54C67"/>
    <w:rsid w:val="2A166BC1"/>
    <w:rsid w:val="2D6F69C0"/>
    <w:rsid w:val="31647D66"/>
    <w:rsid w:val="358A2DE4"/>
    <w:rsid w:val="36993C98"/>
    <w:rsid w:val="36A42976"/>
    <w:rsid w:val="371A4C8C"/>
    <w:rsid w:val="3744399B"/>
    <w:rsid w:val="38136454"/>
    <w:rsid w:val="3B0F6ACC"/>
    <w:rsid w:val="3BEE6177"/>
    <w:rsid w:val="3D422619"/>
    <w:rsid w:val="3EEF109D"/>
    <w:rsid w:val="40E43974"/>
    <w:rsid w:val="40E616BA"/>
    <w:rsid w:val="433D6BDD"/>
    <w:rsid w:val="4349552E"/>
    <w:rsid w:val="4390748B"/>
    <w:rsid w:val="45EE264F"/>
    <w:rsid w:val="468D28B5"/>
    <w:rsid w:val="47EE40E5"/>
    <w:rsid w:val="47F87C39"/>
    <w:rsid w:val="49CA0BFE"/>
    <w:rsid w:val="49FF0303"/>
    <w:rsid w:val="4B386DCB"/>
    <w:rsid w:val="507A645F"/>
    <w:rsid w:val="50C55DBA"/>
    <w:rsid w:val="53A33245"/>
    <w:rsid w:val="53B31AE1"/>
    <w:rsid w:val="53F358EC"/>
    <w:rsid w:val="54F16ABB"/>
    <w:rsid w:val="55603AEE"/>
    <w:rsid w:val="564B20A8"/>
    <w:rsid w:val="586340B6"/>
    <w:rsid w:val="5899757D"/>
    <w:rsid w:val="597B5CF8"/>
    <w:rsid w:val="5CE13DF9"/>
    <w:rsid w:val="5D7E5824"/>
    <w:rsid w:val="62AD0052"/>
    <w:rsid w:val="645E6340"/>
    <w:rsid w:val="665146E0"/>
    <w:rsid w:val="66A61F9B"/>
    <w:rsid w:val="68320EBE"/>
    <w:rsid w:val="68840209"/>
    <w:rsid w:val="696372E0"/>
    <w:rsid w:val="6CCB679F"/>
    <w:rsid w:val="6D7825A4"/>
    <w:rsid w:val="6D8F68C7"/>
    <w:rsid w:val="6E6D1E5F"/>
    <w:rsid w:val="6EA44EF1"/>
    <w:rsid w:val="7151042E"/>
    <w:rsid w:val="76A0780E"/>
    <w:rsid w:val="777D621D"/>
    <w:rsid w:val="7D415502"/>
    <w:rsid w:val="7EC116BC"/>
    <w:rsid w:val="7F081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jc w:val="center"/>
      <w:outlineLvl w:val="0"/>
    </w:pPr>
    <w:rPr>
      <w:szCs w:val="20"/>
    </w:rPr>
  </w:style>
  <w:style w:type="paragraph" w:styleId="4">
    <w:name w:val="heading 2"/>
    <w:basedOn w:val="1"/>
    <w:next w:val="1"/>
    <w:link w:val="86"/>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autoRedefine/>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autoRedefine/>
    <w:semiHidden/>
    <w:unhideWhenUsed/>
    <w:qFormat/>
    <w:uiPriority w:val="0"/>
    <w:pPr>
      <w:jc w:val="left"/>
    </w:pPr>
  </w:style>
  <w:style w:type="paragraph" w:styleId="8">
    <w:name w:val="Body Text"/>
    <w:basedOn w:val="1"/>
    <w:link w:val="87"/>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semiHidden/>
    <w:unhideWhenUsed/>
    <w:qFormat/>
    <w:uiPriority w:val="0"/>
    <w:rPr>
      <w:sz w:val="21"/>
      <w:szCs w:val="21"/>
    </w:rPr>
  </w:style>
  <w:style w:type="character" w:customStyle="1" w:styleId="27">
    <w:name w:val="style21"/>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24</Pages>
  <Words>12291</Words>
  <Characters>12729</Characters>
  <Lines>102</Lines>
  <Paragraphs>28</Paragraphs>
  <TotalTime>50</TotalTime>
  <ScaleCrop>false</ScaleCrop>
  <LinksUpToDate>false</LinksUpToDate>
  <CharactersWithSpaces>13460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2024-06-14T08:14:17Z</dcterms:modified>
  <dc:title>湖南科技大学2005-2006年教材招标</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59FF7FF1467849C3AA6071682B567830_13</vt:lpwstr>
  </property>
</Properties>
</file>