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rPr>
          <w:rFonts w:eastAsia="黑体"/>
          <w:b/>
          <w:sz w:val="52"/>
          <w:szCs w:val="52"/>
        </w:rPr>
      </w:pPr>
      <w:r>
        <w:rPr>
          <w:rFonts w:hint="eastAsia" w:ascii="黑体" w:hAnsi="黑体" w:eastAsia="黑体" w:cs="黑体"/>
          <w:b/>
          <w:bCs/>
          <w:sz w:val="52"/>
          <w:szCs w:val="52"/>
        </w:rPr>
        <w:t>办公用品、电脑耗材供应商采购</w:t>
      </w:r>
      <w:r>
        <w:rPr>
          <w:rFonts w:hint="eastAsia" w:eastAsia="黑体"/>
          <w:b/>
          <w:sz w:val="52"/>
          <w:szCs w:val="52"/>
        </w:rPr>
        <w:t>项目</w:t>
      </w:r>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
    <w:p>
      <w:pPr>
        <w:jc w:val="center"/>
        <w:rPr>
          <w:sz w:val="32"/>
        </w:rPr>
      </w:pPr>
      <w:r>
        <w:rPr>
          <w:rFonts w:hint="eastAsia"/>
          <w:sz w:val="32"/>
        </w:rPr>
        <w:t>202</w:t>
      </w:r>
      <w:r>
        <w:rPr>
          <w:sz w:val="32"/>
        </w:rPr>
        <w:t>4</w:t>
      </w:r>
      <w:r>
        <w:rPr>
          <w:rFonts w:hint="eastAsia"/>
          <w:sz w:val="32"/>
        </w:rPr>
        <w:t>年6月</w:t>
      </w:r>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办公用品、电脑耗材供应商采购项目比选公告</w:t>
      </w:r>
    </w:p>
    <w:p>
      <w:pPr>
        <w:widowControl/>
        <w:spacing w:before="124" w:beforeLines="40" w:after="124" w:afterLines="40" w:line="360" w:lineRule="auto"/>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办公用品、电脑耗材供应商采购项目</w:t>
      </w:r>
      <w:r>
        <w:rPr>
          <w:rFonts w:ascii="宋体" w:hAnsi="宋体" w:cs="宋体"/>
          <w:color w:val="000000"/>
          <w:kern w:val="0"/>
          <w:sz w:val="24"/>
        </w:rPr>
        <w:t>进行招标，现将招投标工作事宜公告如下：</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一、</w:t>
      </w:r>
      <w:r>
        <w:rPr>
          <w:rFonts w:hint="eastAsia" w:ascii="宋体" w:hAnsi="宋体" w:cs="宋体"/>
          <w:b/>
          <w:bCs/>
          <w:color w:val="000000"/>
          <w:kern w:val="0"/>
          <w:sz w:val="24"/>
        </w:rPr>
        <w:t>采购项目基本概况</w:t>
      </w:r>
    </w:p>
    <w:p>
      <w:pPr>
        <w:widowControl/>
        <w:spacing w:before="124" w:beforeLines="40" w:after="124" w:afterLines="40" w:line="360" w:lineRule="auto"/>
        <w:ind w:firstLine="480" w:firstLineChars="200"/>
        <w:rPr>
          <w:sz w:val="24"/>
        </w:rPr>
      </w:pPr>
      <w:r>
        <w:rPr>
          <w:rFonts w:hint="eastAsia" w:ascii="宋体" w:hAnsi="宋体" w:cs="宋体"/>
          <w:color w:val="000000"/>
          <w:kern w:val="0"/>
          <w:sz w:val="24"/>
        </w:rPr>
        <w:t>1、</w:t>
      </w:r>
      <w:r>
        <w:rPr>
          <w:rFonts w:ascii="宋体" w:hAnsi="宋体" w:cs="宋体"/>
          <w:color w:val="000000"/>
          <w:kern w:val="0"/>
          <w:sz w:val="24"/>
        </w:rPr>
        <w:t>项目名称：</w:t>
      </w:r>
      <w:r>
        <w:rPr>
          <w:rFonts w:hint="eastAsia"/>
          <w:sz w:val="24"/>
        </w:rPr>
        <w:t xml:space="preserve"> 办公用品、电脑耗材供应商采购项目</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2、采购方式：比选采购</w:t>
      </w:r>
    </w:p>
    <w:p>
      <w:pPr>
        <w:widowControl/>
        <w:spacing w:before="124" w:beforeLines="40" w:after="124" w:afterLines="40" w:line="360" w:lineRule="auto"/>
        <w:ind w:firstLine="480" w:firstLineChars="200"/>
        <w:rPr>
          <w:rFonts w:ascii="宋体" w:hAnsi="宋体" w:cs="宋体"/>
          <w:color w:val="000000"/>
          <w:kern w:val="0"/>
          <w:sz w:val="24"/>
        </w:rPr>
      </w:pPr>
      <w:bookmarkStart w:id="1" w:name="_Hlk144221827"/>
      <w:r>
        <w:rPr>
          <w:rFonts w:hint="eastAsia" w:ascii="宋体" w:hAnsi="宋体" w:cs="宋体"/>
          <w:color w:val="000000"/>
          <w:kern w:val="0"/>
          <w:sz w:val="24"/>
        </w:rPr>
        <w:t>3、采购预算：</w:t>
      </w:r>
      <w:r>
        <w:rPr>
          <w:rFonts w:hint="eastAsia" w:ascii="宋体" w:hAnsi="宋体" w:cs="宋体"/>
          <w:kern w:val="0"/>
          <w:sz w:val="24"/>
        </w:rPr>
        <w:t>20万元</w:t>
      </w:r>
      <w:bookmarkEnd w:id="1"/>
    </w:p>
    <w:p>
      <w:pPr>
        <w:pStyle w:val="81"/>
        <w:widowControl/>
        <w:numPr>
          <w:ilvl w:val="1"/>
          <w:numId w:val="1"/>
        </w:numPr>
        <w:spacing w:before="124" w:beforeLines="40" w:after="124" w:afterLines="40" w:line="360" w:lineRule="auto"/>
        <w:ind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spacing w:line="360" w:lineRule="auto"/>
        <w:ind w:left="284"/>
        <w:rPr>
          <w:rFonts w:ascii="宋体" w:hAnsi="宋体" w:cs="宋体"/>
          <w:color w:val="000000"/>
          <w:kern w:val="0"/>
          <w:sz w:val="24"/>
        </w:rPr>
      </w:pPr>
      <w:bookmarkStart w:id="2" w:name="_Hlk160807244"/>
      <w:r>
        <w:rPr>
          <w:rFonts w:hint="eastAsia" w:ascii="宋体" w:hAnsi="宋体" w:cs="宋体"/>
          <w:color w:val="000000"/>
          <w:kern w:val="0"/>
          <w:sz w:val="24"/>
        </w:rPr>
        <w:t>（一）基本资格条件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sz w:val="24"/>
        </w:rPr>
        <w:t>6、已入驻湖南省财政厅政府采购电子卖场证明。</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bookmarkEnd w:id="2"/>
    <w:p>
      <w:pPr>
        <w:widowControl/>
        <w:spacing w:before="156" w:beforeLines="50" w:after="156" w:afterLines="50" w:line="440" w:lineRule="exact"/>
        <w:ind w:firstLine="482" w:firstLineChars="200"/>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auto"/>
          <w:kern w:val="0"/>
          <w:sz w:val="24"/>
          <w:highlight w:val="red"/>
        </w:rPr>
      </w:pPr>
      <w:r>
        <w:rPr>
          <w:rFonts w:hint="eastAsia" w:ascii="宋体" w:hAnsi="宋体" w:cs="宋体"/>
          <w:color w:val="000000"/>
          <w:kern w:val="0"/>
          <w:sz w:val="24"/>
        </w:rPr>
        <w:t>1、</w:t>
      </w:r>
      <w:bookmarkStart w:id="3" w:name="_Hlk165294075"/>
      <w:r>
        <w:rPr>
          <w:rFonts w:hint="eastAsia" w:ascii="宋体" w:hAnsi="宋体" w:cs="宋体"/>
          <w:color w:val="000000"/>
          <w:kern w:val="0"/>
          <w:sz w:val="24"/>
        </w:rPr>
        <w:t>报名时间：</w:t>
      </w:r>
      <w:r>
        <w:rPr>
          <w:rFonts w:hint="eastAsia" w:ascii="宋体" w:hAnsi="宋体" w:cs="宋体"/>
          <w:color w:val="auto"/>
          <w:kern w:val="0"/>
          <w:sz w:val="24"/>
          <w:highlight w:val="none"/>
        </w:rPr>
        <w:t>2024年6月</w:t>
      </w:r>
      <w:r>
        <w:rPr>
          <w:rFonts w:hint="eastAsia" w:ascii="宋体" w:hAnsi="宋体" w:cs="宋体"/>
          <w:color w:val="auto"/>
          <w:kern w:val="0"/>
          <w:sz w:val="24"/>
          <w:highlight w:val="none"/>
          <w:lang w:val="en-US" w:eastAsia="zh-CN"/>
        </w:rPr>
        <w:t>27</w:t>
      </w:r>
      <w:r>
        <w:rPr>
          <w:rFonts w:hint="eastAsia" w:ascii="宋体" w:hAnsi="宋体" w:cs="宋体"/>
          <w:color w:val="auto"/>
          <w:kern w:val="0"/>
          <w:sz w:val="24"/>
          <w:highlight w:val="none"/>
        </w:rPr>
        <w:t>日至2024年</w:t>
      </w:r>
      <w:r>
        <w:rPr>
          <w:rFonts w:hint="eastAsia" w:ascii="宋体" w:hAnsi="宋体" w:cs="宋体"/>
          <w:color w:val="auto"/>
          <w:kern w:val="0"/>
          <w:sz w:val="24"/>
          <w:highlight w:val="none"/>
          <w:lang w:val="en-US" w:eastAsia="zh-CN"/>
        </w:rPr>
        <w:t>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日17：00止（工作日）；</w:t>
      </w:r>
      <w:bookmarkEnd w:id="3"/>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5"/>
          <w:rFonts w:hint="eastAsia" w:ascii="宋体" w:hAnsi="宋体" w:cs="宋体"/>
          <w:color w:val="auto"/>
          <w:kern w:val="0"/>
          <w:sz w:val="24"/>
        </w:rPr>
        <w:t>zcglccg@126.com</w:t>
      </w:r>
      <w:r>
        <w:rPr>
          <w:rStyle w:val="25"/>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kern w:val="0"/>
          <w:sz w:val="24"/>
        </w:rPr>
      </w:pPr>
      <w:bookmarkStart w:id="4" w:name="_Hlk165294099"/>
      <w:r>
        <w:rPr>
          <w:rFonts w:hint="eastAsia" w:ascii="宋体" w:hAnsi="宋体" w:cs="宋体"/>
          <w:color w:val="000000"/>
          <w:kern w:val="0"/>
          <w:sz w:val="24"/>
        </w:rPr>
        <w:t>1、响应文件递交开始时间：2024年</w:t>
      </w:r>
      <w:r>
        <w:rPr>
          <w:rFonts w:hint="eastAsia" w:ascii="宋体" w:hAnsi="宋体" w:cs="宋体"/>
          <w:kern w:val="0"/>
          <w:sz w:val="24"/>
          <w:lang w:val="en-US" w:eastAsia="zh-CN"/>
        </w:rPr>
        <w:t>7</w:t>
      </w:r>
      <w:r>
        <w:rPr>
          <w:rFonts w:hint="eastAsia" w:ascii="宋体" w:hAnsi="宋体" w:cs="宋体"/>
          <w:kern w:val="0"/>
          <w:sz w:val="24"/>
        </w:rPr>
        <w:t>月</w:t>
      </w:r>
      <w:r>
        <w:rPr>
          <w:rFonts w:hint="eastAsia" w:ascii="宋体" w:hAnsi="宋体" w:cs="宋体"/>
          <w:kern w:val="0"/>
          <w:sz w:val="24"/>
          <w:lang w:val="en-US" w:eastAsia="zh-CN"/>
        </w:rPr>
        <w:t>4</w:t>
      </w:r>
      <w:r>
        <w:rPr>
          <w:rFonts w:hint="eastAsia" w:ascii="宋体" w:hAnsi="宋体" w:cs="宋体"/>
          <w:kern w:val="0"/>
          <w:sz w:val="24"/>
        </w:rPr>
        <w:t>日北京时间9:</w:t>
      </w:r>
      <w:r>
        <w:rPr>
          <w:rFonts w:hint="eastAsia" w:ascii="宋体" w:hAnsi="宋体" w:cs="宋体"/>
          <w:kern w:val="0"/>
          <w:sz w:val="24"/>
          <w:lang w:val="en-US" w:eastAsia="zh-CN"/>
        </w:rPr>
        <w:t>3</w:t>
      </w:r>
      <w:r>
        <w:rPr>
          <w:rFonts w:hint="eastAsia" w:ascii="宋体" w:hAnsi="宋体" w:cs="宋体"/>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kern w:val="0"/>
          <w:sz w:val="24"/>
        </w:rPr>
        <w:t>2、响应文件递交截止时间（开标时间）：2024年</w:t>
      </w:r>
      <w:r>
        <w:rPr>
          <w:rFonts w:hint="eastAsia" w:ascii="宋体" w:hAnsi="宋体" w:cs="宋体"/>
          <w:kern w:val="0"/>
          <w:sz w:val="24"/>
          <w:lang w:val="en-US" w:eastAsia="zh-CN"/>
        </w:rPr>
        <w:t>7</w:t>
      </w:r>
      <w:r>
        <w:rPr>
          <w:rFonts w:hint="eastAsia" w:ascii="宋体" w:hAnsi="宋体" w:cs="宋体"/>
          <w:kern w:val="0"/>
          <w:sz w:val="24"/>
        </w:rPr>
        <w:t>月</w:t>
      </w:r>
      <w:r>
        <w:rPr>
          <w:rFonts w:hint="eastAsia" w:ascii="宋体" w:hAnsi="宋体" w:cs="宋体"/>
          <w:kern w:val="0"/>
          <w:sz w:val="24"/>
          <w:lang w:val="en-US" w:eastAsia="zh-CN"/>
        </w:rPr>
        <w:t>4</w:t>
      </w:r>
      <w:r>
        <w:rPr>
          <w:rFonts w:hint="eastAsia" w:ascii="宋体" w:hAnsi="宋体" w:cs="宋体"/>
          <w:kern w:val="0"/>
          <w:sz w:val="24"/>
        </w:rPr>
        <w:t>日</w:t>
      </w:r>
      <w:r>
        <w:rPr>
          <w:rFonts w:hint="eastAsia" w:ascii="宋体" w:hAnsi="宋体" w:cs="宋体"/>
          <w:color w:val="000000"/>
          <w:kern w:val="0"/>
          <w:sz w:val="24"/>
        </w:rPr>
        <w:t>北京时间9:</w:t>
      </w:r>
      <w:r>
        <w:rPr>
          <w:rFonts w:hint="eastAsia" w:ascii="宋体" w:hAnsi="宋体" w:cs="宋体"/>
          <w:color w:val="000000"/>
          <w:kern w:val="0"/>
          <w:sz w:val="24"/>
          <w:lang w:val="en-US" w:eastAsia="zh-CN"/>
        </w:rPr>
        <w:t>3</w:t>
      </w:r>
      <w:r>
        <w:rPr>
          <w:rFonts w:hint="eastAsia" w:ascii="宋体" w:hAnsi="宋体" w:cs="宋体"/>
          <w:color w:val="000000"/>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3、开标地点：湖南化工职业技术学院行政楼110室。</w:t>
      </w:r>
    </w:p>
    <w:bookmarkEnd w:id="4"/>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5"/>
        <w:ind w:firstLine="480"/>
        <w:rPr>
          <w:color w:val="000000"/>
        </w:rPr>
      </w:pPr>
    </w:p>
    <w:p>
      <w:pPr>
        <w:pStyle w:val="6"/>
        <w:rPr>
          <w:color w:val="000000"/>
        </w:rPr>
      </w:pPr>
    </w:p>
    <w:p>
      <w:pPr>
        <w:pStyle w:val="6"/>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8"/>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8"/>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before="156" w:beforeLines="50" w:after="156" w:afterLines="50"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5" w:name="_Hlk160810094"/>
      <w:r>
        <w:rPr>
          <w:rFonts w:hint="eastAsia" w:ascii="宋体" w:hAnsi="宋体" w:cs="宋体"/>
          <w:color w:val="000000"/>
          <w:kern w:val="0"/>
          <w:sz w:val="24"/>
        </w:rPr>
        <w:t>湖南化工职业技术学院</w:t>
      </w:r>
      <w:bookmarkEnd w:id="5"/>
      <w:r>
        <w:rPr>
          <w:rFonts w:hint="eastAsia" w:ascii="宋体" w:hAnsi="宋体" w:cs="宋体"/>
          <w:color w:val="000000"/>
          <w:kern w:val="0"/>
          <w:sz w:val="24"/>
        </w:rPr>
        <w:t>办公用品、电脑耗材供应商采购项目合同书》。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（一）基本资格条件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2、具有良好的商业信誉和健全的财务会计制度；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3、具有履行合同所必需的设备和专业技术服务能力；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6、已入驻湖南省财政厅政府采购电子卖场证明。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numPr>
          <w:ilvl w:val="0"/>
          <w:numId w:val="3"/>
        </w:numPr>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项目需求</w:t>
      </w:r>
    </w:p>
    <w:p>
      <w:pPr>
        <w:pStyle w:val="81"/>
        <w:numPr>
          <w:ilvl w:val="0"/>
          <w:numId w:val="4"/>
        </w:numPr>
        <w:spacing w:before="60" w:after="80" w:line="360" w:lineRule="auto"/>
        <w:ind w:left="420" w:firstLine="0" w:firstLineChars="0"/>
        <w:rPr>
          <w:rFonts w:ascii="宋体" w:hAnsi="宋体" w:cs="宋体"/>
          <w:bCs/>
          <w:color w:val="000000"/>
          <w:sz w:val="24"/>
        </w:rPr>
      </w:pPr>
      <w:r>
        <w:rPr>
          <w:rFonts w:hint="eastAsia" w:ascii="宋体" w:hAnsi="宋体" w:cs="宋体"/>
          <w:bCs/>
          <w:color w:val="000000"/>
          <w:sz w:val="24"/>
        </w:rPr>
        <w:t>项目慨况：</w:t>
      </w:r>
    </w:p>
    <w:p>
      <w:pPr>
        <w:pStyle w:val="18"/>
        <w:widowControl/>
        <w:ind w:leftChars="0" w:firstLine="0" w:firstLineChars="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、项目名称：办公用品、电脑耗材供应商选定项目</w:t>
      </w:r>
    </w:p>
    <w:p>
      <w:pPr>
        <w:pStyle w:val="18"/>
        <w:widowControl/>
        <w:ind w:leftChars="0" w:firstLine="0" w:firstLineChars="0"/>
        <w:rPr>
          <w:rFonts w:cs="宋体"/>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s="宋体"/>
          <w:color w:val="000000" w:themeColor="text1"/>
          <w:sz w:val="24"/>
          <w14:textFill>
            <w14:solidFill>
              <w14:schemeClr w14:val="tx1"/>
            </w14:solidFill>
          </w14:textFill>
        </w:rPr>
        <w:t>、选定单位：选定一家供应商</w:t>
      </w:r>
    </w:p>
    <w:p>
      <w:pPr>
        <w:pStyle w:val="18"/>
        <w:widowControl/>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3、服务期限：一年</w:t>
      </w:r>
    </w:p>
    <w:p>
      <w:pPr>
        <w:ind w:firstLine="480" w:firstLineChars="200"/>
        <w:rPr>
          <w:sz w:val="24"/>
        </w:rPr>
      </w:pPr>
      <w:r>
        <w:rPr>
          <w:rFonts w:hint="eastAsia" w:ascii="宋体" w:hAnsi="宋体" w:cs="宋体"/>
          <w:bCs/>
          <w:color w:val="000000"/>
          <w:sz w:val="24"/>
        </w:rPr>
        <w:t>（二）</w:t>
      </w:r>
      <w:r>
        <w:rPr>
          <w:rFonts w:hint="eastAsia"/>
          <w:sz w:val="24"/>
        </w:rPr>
        <w:t>项目报价：</w:t>
      </w:r>
    </w:p>
    <w:p>
      <w:pPr>
        <w:pStyle w:val="18"/>
        <w:widowControl/>
        <w:spacing w:before="156" w:beforeLines="50" w:after="0"/>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1、办公用品名称、规格、品牌及报价</w:t>
      </w:r>
    </w:p>
    <w:tbl>
      <w:tblPr>
        <w:tblStyle w:val="19"/>
        <w:tblpPr w:leftFromText="180" w:rightFromText="180" w:vertAnchor="text" w:horzAnchor="page" w:tblpX="1154" w:tblpY="197"/>
        <w:tblOverlap w:val="never"/>
        <w:tblW w:w="10091" w:type="dxa"/>
        <w:tblInd w:w="0" w:type="dxa"/>
        <w:tblLayout w:type="fixed"/>
        <w:tblCellMar>
          <w:top w:w="0" w:type="dxa"/>
          <w:left w:w="108" w:type="dxa"/>
          <w:bottom w:w="0" w:type="dxa"/>
          <w:right w:w="108" w:type="dxa"/>
        </w:tblCellMar>
      </w:tblPr>
      <w:tblGrid>
        <w:gridCol w:w="668"/>
        <w:gridCol w:w="1541"/>
        <w:gridCol w:w="1706"/>
        <w:gridCol w:w="994"/>
        <w:gridCol w:w="906"/>
        <w:gridCol w:w="117"/>
        <w:gridCol w:w="886"/>
        <w:gridCol w:w="668"/>
        <w:gridCol w:w="777"/>
        <w:gridCol w:w="982"/>
        <w:gridCol w:w="846"/>
      </w:tblGrid>
      <w:tr>
        <w:tblPrEx>
          <w:tblCellMar>
            <w:top w:w="0" w:type="dxa"/>
            <w:left w:w="108" w:type="dxa"/>
            <w:bottom w:w="0" w:type="dxa"/>
            <w:right w:w="108" w:type="dxa"/>
          </w:tblCellMar>
        </w:tblPrEx>
        <w:trPr>
          <w:trHeight w:val="658"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kern w:val="0"/>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序号</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货物名称</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规格型号</w:t>
            </w:r>
          </w:p>
        </w:tc>
        <w:tc>
          <w:tcPr>
            <w:tcW w:w="2903"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p>
          <w:p>
            <w:pPr>
              <w:widowControl/>
              <w:ind w:firstLine="1004" w:firstLineChars="500"/>
              <w:textAlignment w:val="center"/>
              <w:rPr>
                <w:rFonts w:ascii="宋体" w:hAnsi="宋体" w:cs="楷体"/>
                <w:b/>
                <w:bCs/>
                <w:color w:val="000000" w:themeColor="text1"/>
                <w:kern w:val="0"/>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品牌</w:t>
            </w:r>
          </w:p>
          <w:p>
            <w:pPr>
              <w:widowControl/>
              <w:jc w:val="center"/>
              <w:textAlignment w:val="center"/>
              <w:rPr>
                <w:rFonts w:ascii="宋体" w:hAnsi="宋体" w:cs="楷体"/>
                <w:b/>
                <w:bCs/>
                <w:color w:val="000000" w:themeColor="text1"/>
                <w:kern w:val="0"/>
                <w:sz w:val="20"/>
                <w:szCs w:val="20"/>
                <w14:textFill>
                  <w14:solidFill>
                    <w14:schemeClr w14:val="tx1"/>
                  </w14:solidFill>
                </w14:textFill>
              </w:rPr>
            </w:pP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单位</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kern w:val="0"/>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数量</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846" w:type="dxa"/>
            <w:tcBorders>
              <w:top w:val="single" w:color="000000" w:sz="4" w:space="0"/>
              <w:left w:val="single" w:color="000000" w:sz="4" w:space="0"/>
              <w:bottom w:val="single" w:color="000000" w:sz="4" w:space="0"/>
              <w:right w:val="single" w:color="000000" w:sz="4" w:space="0"/>
            </w:tcBorders>
            <w:vAlign w:val="center"/>
          </w:tcPr>
          <w:p>
            <w:pPr>
              <w:widowControl/>
              <w:ind w:left="100" w:hanging="100" w:hangingChars="50"/>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优惠率</w:t>
            </w:r>
          </w:p>
        </w:tc>
      </w:tr>
      <w:tr>
        <w:tblPrEx>
          <w:tblCellMar>
            <w:top w:w="0" w:type="dxa"/>
            <w:left w:w="108" w:type="dxa"/>
            <w:bottom w:w="0" w:type="dxa"/>
            <w:right w:w="108" w:type="dxa"/>
          </w:tblCellMar>
        </w:tblPrEx>
        <w:trPr>
          <w:trHeight w:val="522"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签字笔</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0.5/0.7</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宝克</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得力</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晨光</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支</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2600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restart"/>
            <w:tcBorders>
              <w:top w:val="single" w:color="000000" w:sz="4" w:space="0"/>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8"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中性笔</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0.5</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三木</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得力</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晨光</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支</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7400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2"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透明皂、香皂</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舒肤佳</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力士</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六神</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1800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73"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毛巾</w:t>
            </w:r>
            <w:r>
              <w:rPr>
                <w:rFonts w:hint="eastAsia" w:ascii="宋体" w:hAnsi="宋体" w:cs="宋体"/>
                <w:color w:val="000000"/>
                <w:kern w:val="0"/>
                <w:sz w:val="20"/>
                <w:szCs w:val="20"/>
              </w:rPr>
              <w:t>★</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洁丽雅</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三利</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浮日</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250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4"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洗手液</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300ml</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威露士</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蓝月亮</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立白</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瓶</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7"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茶叶</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一级绿茶200g</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古丈毛尖</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信阳毛尖</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珍颜牌富硒绿茶</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包</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315</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24"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抽纸</w:t>
            </w:r>
            <w:r>
              <w:rPr>
                <w:rFonts w:hint="eastAsia" w:ascii="宋体" w:hAnsi="宋体" w:cs="宋体"/>
                <w:color w:val="000000"/>
                <w:kern w:val="0"/>
                <w:sz w:val="20"/>
                <w:szCs w:val="20"/>
              </w:rPr>
              <w:t>★</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3包*210ml*600抽</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心相印</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维达</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清风</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2400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752"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卷纸</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12圈（3层*270段/圈）</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心相印</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维达</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清风</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9"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电池</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南孚</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双鹿</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金霸王</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节</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9"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电池</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南孚</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双鹿</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金霸王</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节</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643"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优惠后报价汇总/元</w:t>
            </w:r>
          </w:p>
        </w:tc>
        <w:tc>
          <w:tcPr>
            <w:tcW w:w="1706" w:type="dxa"/>
            <w:tcBorders>
              <w:top w:val="single" w:color="000000" w:sz="4" w:space="0"/>
              <w:left w:val="single" w:color="000000" w:sz="4" w:space="0"/>
              <w:bottom w:val="single" w:color="000000" w:sz="4" w:space="0"/>
              <w:right w:val="nil"/>
            </w:tcBorders>
          </w:tcPr>
          <w:p>
            <w:pPr>
              <w:jc w:val="center"/>
              <w:rPr>
                <w:rFonts w:ascii="宋体" w:hAnsi="宋体" w:cs="宋体"/>
                <w:color w:val="000000" w:themeColor="text1"/>
                <w:szCs w:val="21"/>
                <w14:textFill>
                  <w14:solidFill>
                    <w14:schemeClr w14:val="tx1"/>
                  </w14:solidFill>
                </w14:textFill>
              </w:rPr>
            </w:pPr>
          </w:p>
        </w:tc>
        <w:tc>
          <w:tcPr>
            <w:tcW w:w="1900" w:type="dxa"/>
            <w:gridSpan w:val="2"/>
            <w:tcBorders>
              <w:top w:val="single" w:color="000000" w:sz="4" w:space="0"/>
              <w:left w:val="nil"/>
              <w:bottom w:val="single" w:color="000000" w:sz="4" w:space="0"/>
              <w:right w:val="nil"/>
            </w:tcBorders>
          </w:tcPr>
          <w:p>
            <w:pPr>
              <w:jc w:val="center"/>
              <w:rPr>
                <w:rFonts w:ascii="宋体" w:hAnsi="宋体" w:cs="宋体"/>
                <w:color w:val="000000" w:themeColor="text1"/>
                <w:szCs w:val="21"/>
                <w14:textFill>
                  <w14:solidFill>
                    <w14:schemeClr w14:val="tx1"/>
                  </w14:solidFill>
                </w14:textFill>
              </w:rPr>
            </w:pPr>
          </w:p>
        </w:tc>
        <w:tc>
          <w:tcPr>
            <w:tcW w:w="3430" w:type="dxa"/>
            <w:gridSpan w:val="5"/>
            <w:tcBorders>
              <w:top w:val="single" w:color="000000" w:sz="4" w:space="0"/>
              <w:left w:val="nil"/>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46" w:type="dxa"/>
            <w:tcBorders>
              <w:top w:val="single" w:color="000000" w:sz="4" w:space="0"/>
              <w:left w:val="nil"/>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bl>
    <w:p>
      <w:pPr>
        <w:spacing w:before="60" w:after="80" w:line="360" w:lineRule="auto"/>
        <w:ind w:left="479" w:leftChars="228"/>
        <w:jc w:val="left"/>
        <w:rPr>
          <w:rFonts w:cs="宋体"/>
          <w:b/>
          <w:color w:val="000000" w:themeColor="text1"/>
          <w:sz w:val="24"/>
          <w:lang w:bidi="ar"/>
          <w14:textFill>
            <w14:solidFill>
              <w14:schemeClr w14:val="tx1"/>
            </w14:solidFill>
          </w14:textFill>
        </w:rPr>
      </w:pPr>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pStyle w:val="18"/>
        <w:widowControl/>
        <w:numPr>
          <w:ilvl w:val="0"/>
          <w:numId w:val="1"/>
        </w:numPr>
        <w:spacing w:before="156" w:beforeLines="50" w:after="0"/>
        <w:ind w:leftChars="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电脑耗材名称、规格、品牌及报价</w:t>
      </w:r>
    </w:p>
    <w:tbl>
      <w:tblPr>
        <w:tblStyle w:val="19"/>
        <w:tblW w:w="10091" w:type="dxa"/>
        <w:tblInd w:w="0" w:type="dxa"/>
        <w:tblLayout w:type="fixed"/>
        <w:tblCellMar>
          <w:top w:w="0" w:type="dxa"/>
          <w:left w:w="108" w:type="dxa"/>
          <w:bottom w:w="0" w:type="dxa"/>
          <w:right w:w="108" w:type="dxa"/>
        </w:tblCellMar>
      </w:tblPr>
      <w:tblGrid>
        <w:gridCol w:w="696"/>
        <w:gridCol w:w="1513"/>
        <w:gridCol w:w="1849"/>
        <w:gridCol w:w="1165"/>
        <w:gridCol w:w="804"/>
        <w:gridCol w:w="900"/>
        <w:gridCol w:w="778"/>
        <w:gridCol w:w="722"/>
        <w:gridCol w:w="846"/>
        <w:gridCol w:w="818"/>
      </w:tblGrid>
      <w:tr>
        <w:tblPrEx>
          <w:tblCellMar>
            <w:top w:w="0" w:type="dxa"/>
            <w:left w:w="108" w:type="dxa"/>
            <w:bottom w:w="0" w:type="dxa"/>
            <w:right w:w="108" w:type="dxa"/>
          </w:tblCellMar>
        </w:tblPrEx>
        <w:trPr>
          <w:trHeight w:val="846"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序号</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物品名称</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规格型号</w:t>
            </w:r>
          </w:p>
        </w:tc>
        <w:tc>
          <w:tcPr>
            <w:tcW w:w="2869" w:type="dxa"/>
            <w:gridSpan w:val="3"/>
            <w:tcBorders>
              <w:top w:val="single" w:color="000000" w:sz="4" w:space="0"/>
              <w:left w:val="single" w:color="000000" w:sz="4" w:space="0"/>
              <w:bottom w:val="single" w:color="000000" w:sz="4" w:space="0"/>
              <w:right w:val="single" w:color="000000" w:sz="4" w:space="0"/>
            </w:tcBorders>
            <w:noWrap/>
            <w:vAlign w:val="center"/>
          </w:tcPr>
          <w:p>
            <w:pPr>
              <w:widowControl/>
              <w:ind w:firstLine="840" w:firstLineChars="400"/>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品牌</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单位</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数量</w:t>
            </w:r>
          </w:p>
        </w:tc>
        <w:tc>
          <w:tcPr>
            <w:tcW w:w="846" w:type="dxa"/>
            <w:tcBorders>
              <w:top w:val="single" w:color="000000" w:sz="4" w:space="0"/>
              <w:left w:val="single" w:color="000000" w:sz="4" w:space="0"/>
              <w:bottom w:val="single" w:color="000000" w:sz="4" w:space="0"/>
              <w:right w:val="single" w:color="000000" w:sz="4" w:space="0"/>
            </w:tcBorders>
          </w:tcPr>
          <w:p>
            <w:pPr>
              <w:widowControl/>
              <w:rPr>
                <w:rFonts w:ascii="宋体" w:hAnsi="宋体" w:cs="宋体"/>
                <w:color w:val="000000" w:themeColor="text1"/>
                <w:kern w:val="0"/>
                <w:sz w:val="20"/>
                <w:szCs w:val="20"/>
                <w14:textFill>
                  <w14:solidFill>
                    <w14:schemeClr w14:val="tx1"/>
                  </w14:solidFill>
                </w14:textFill>
              </w:rPr>
            </w:pPr>
          </w:p>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8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优惠率</w:t>
            </w:r>
          </w:p>
        </w:tc>
      </w:tr>
      <w:tr>
        <w:tblPrEx>
          <w:tblCellMar>
            <w:top w:w="0" w:type="dxa"/>
            <w:left w:w="108" w:type="dxa"/>
            <w:bottom w:w="0" w:type="dxa"/>
            <w:right w:w="108" w:type="dxa"/>
          </w:tblCellMar>
        </w:tblPrEx>
        <w:trPr>
          <w:trHeight w:val="387"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打印纸</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A4（500张/包、75g/m</w:t>
            </w:r>
            <w:r>
              <w:rPr>
                <w:rFonts w:hint="eastAsia" w:ascii="宋体" w:hAnsi="宋体" w:cs="宋体"/>
                <w:color w:val="000000" w:themeColor="text1"/>
                <w:kern w:val="0"/>
                <w:szCs w:val="21"/>
                <w:vertAlign w:val="superscript"/>
                <w14:textFill>
                  <w14:solidFill>
                    <w14:schemeClr w14:val="tx1"/>
                  </w14:solidFill>
                </w14:textFill>
              </w:rPr>
              <w:t>2</w:t>
            </w:r>
            <w:r>
              <w:rPr>
                <w:rFonts w:hint="eastAsia" w:ascii="宋体" w:hAnsi="宋体" w:cs="宋体"/>
                <w:color w:val="000000" w:themeColor="text1"/>
                <w:kern w:val="0"/>
                <w:szCs w:val="21"/>
                <w14:textFill>
                  <w14:solidFill>
                    <w14:schemeClr w14:val="tx1"/>
                  </w14:solidFill>
                </w14:textFill>
              </w:rPr>
              <w:t>）</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全通</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百旺</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天章</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包</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1600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restart"/>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9" w:hRule="atLeast"/>
        </w:trPr>
        <w:tc>
          <w:tcPr>
            <w:tcW w:w="696" w:type="dxa"/>
            <w:tcBorders>
              <w:top w:val="single" w:color="000000" w:sz="4" w:space="0"/>
              <w:left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1513" w:type="dxa"/>
            <w:vMerge w:val="restart"/>
            <w:tcBorders>
              <w:top w:val="single" w:color="000000" w:sz="4" w:space="0"/>
              <w:left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硒鼓</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2612</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696" w:type="dxa"/>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1513" w:type="dxa"/>
            <w:vMerge w:val="continue"/>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388</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55</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696" w:type="dxa"/>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513" w:type="dxa"/>
            <w:vMerge w:val="continue"/>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278/328</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696" w:type="dxa"/>
            <w:tcBorders>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p>
        </w:tc>
        <w:tc>
          <w:tcPr>
            <w:tcW w:w="1513" w:type="dxa"/>
            <w:vMerge w:val="continue"/>
            <w:tcBorders>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337</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97"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硒鼓加粉</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以上几种</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6"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键盘</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双飞燕</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罗技</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雷柏</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68"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鼠标</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常规，USB</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双飞燕</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罗技</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雷柏</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68"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优惠后报价汇总/元</w:t>
            </w:r>
          </w:p>
        </w:tc>
        <w:tc>
          <w:tcPr>
            <w:tcW w:w="1849" w:type="dxa"/>
            <w:tcBorders>
              <w:top w:val="single" w:color="000000" w:sz="4" w:space="0"/>
              <w:left w:val="single" w:color="000000" w:sz="4" w:space="0"/>
              <w:bottom w:val="single" w:color="000000" w:sz="4" w:space="0"/>
              <w:right w:val="nil"/>
            </w:tcBorders>
            <w:noWrap/>
            <w:vAlign w:val="center"/>
          </w:tcPr>
          <w:p>
            <w:pPr>
              <w:jc w:val="center"/>
              <w:rPr>
                <w:rFonts w:ascii="宋体" w:hAnsi="宋体" w:cs="宋体"/>
                <w:color w:val="000000" w:themeColor="text1"/>
                <w:szCs w:val="21"/>
                <w14:textFill>
                  <w14:solidFill>
                    <w14:schemeClr w14:val="tx1"/>
                  </w14:solidFill>
                </w14:textFill>
              </w:rPr>
            </w:pPr>
          </w:p>
        </w:tc>
        <w:tc>
          <w:tcPr>
            <w:tcW w:w="1165" w:type="dxa"/>
            <w:tcBorders>
              <w:top w:val="single" w:color="000000" w:sz="4" w:space="0"/>
              <w:left w:val="nil"/>
              <w:bottom w:val="single" w:color="000000" w:sz="4" w:space="0"/>
              <w:right w:val="nil"/>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804" w:type="dxa"/>
            <w:tcBorders>
              <w:top w:val="single" w:color="000000" w:sz="4" w:space="0"/>
              <w:left w:val="nil"/>
              <w:bottom w:val="single" w:color="000000" w:sz="4" w:space="0"/>
              <w:right w:val="nil"/>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900" w:type="dxa"/>
            <w:tcBorders>
              <w:top w:val="single" w:color="000000" w:sz="4" w:space="0"/>
              <w:left w:val="nil"/>
              <w:bottom w:val="single" w:color="000000" w:sz="4" w:space="0"/>
              <w:right w:val="nil"/>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778" w:type="dxa"/>
            <w:tcBorders>
              <w:top w:val="single" w:color="000000" w:sz="4" w:space="0"/>
              <w:left w:val="nil"/>
              <w:bottom w:val="single" w:color="000000" w:sz="4" w:space="0"/>
              <w:right w:val="nil"/>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722" w:type="dxa"/>
            <w:tcBorders>
              <w:top w:val="single" w:color="000000" w:sz="4" w:space="0"/>
              <w:left w:val="nil"/>
              <w:bottom w:val="single" w:color="000000" w:sz="4" w:space="0"/>
              <w:right w:val="nil"/>
            </w:tcBorders>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846" w:type="dxa"/>
            <w:tcBorders>
              <w:top w:val="single" w:color="000000" w:sz="4" w:space="0"/>
              <w:left w:val="nil"/>
              <w:bottom w:val="single" w:color="000000" w:sz="4" w:space="0"/>
              <w:right w:val="nil"/>
            </w:tcBorders>
          </w:tcPr>
          <w:p>
            <w:pPr>
              <w:jc w:val="center"/>
              <w:rPr>
                <w:rFonts w:ascii="宋体" w:hAnsi="宋体" w:cs="宋体"/>
                <w:color w:val="000000" w:themeColor="text1"/>
                <w:szCs w:val="21"/>
                <w14:textFill>
                  <w14:solidFill>
                    <w14:schemeClr w14:val="tx1"/>
                  </w14:solidFill>
                </w14:textFill>
              </w:rPr>
            </w:pPr>
          </w:p>
        </w:tc>
        <w:tc>
          <w:tcPr>
            <w:tcW w:w="818" w:type="dxa"/>
            <w:tcBorders>
              <w:top w:val="single" w:color="000000" w:sz="4" w:space="0"/>
              <w:left w:val="nil"/>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bl>
    <w:p/>
    <w:p>
      <w:pPr>
        <w:spacing w:before="60" w:after="80" w:line="360" w:lineRule="auto"/>
        <w:ind w:left="479" w:leftChars="228"/>
        <w:jc w:val="left"/>
        <w:rPr>
          <w:lang w:bidi="ar"/>
        </w:rPr>
      </w:pPr>
      <w:bookmarkStart w:id="6" w:name="_Hlk169257340"/>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bookmarkStart w:id="7" w:name="_Hlk169256993"/>
      <w:bookmarkStart w:id="8" w:name="_Hlk169257368"/>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w:t>
      </w:r>
      <w:bookmarkEnd w:id="7"/>
      <w:r>
        <w:rPr>
          <w:rFonts w:hint="eastAsia" w:ascii="宋体" w:hAnsi="宋体" w:cs="宋体"/>
          <w:color w:val="FF0000"/>
          <w:kern w:val="0"/>
          <w:szCs w:val="21"/>
        </w:rPr>
        <w:t>[分项报价×（1-优惠率）]</w:t>
      </w:r>
    </w:p>
    <w:bookmarkEnd w:id="6"/>
    <w:bookmarkEnd w:id="8"/>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w:t>
      </w:r>
      <w:r>
        <w:rPr>
          <w:rFonts w:hint="eastAsia" w:ascii="宋体" w:hAnsi="宋体" w:cs="宋体"/>
          <w:bCs/>
          <w:color w:val="000000"/>
          <w:sz w:val="24"/>
        </w:rPr>
        <w:t>项目要求：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（说明：本方案中甲方为采购方；乙方为供应商）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第一条 供货价格确定原则</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甲、乙双方约定：乙方向甲方提供的办公用品等耗材依下述原则来确定产品的价格并结算货物价款：</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1、乙方承诺：向甲方供应的产品价格不得高于招标比选价格与供货同期的株洲市之最低市场价。</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2、乙方承诺：若其所提供任一产品之价格与前述第1款约定不符的，则应以该产品所报价格的双倍为标准，向甲方支付违约金。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为此，乙方并承诺：前述产品价格的确定，由甲方通过审计或市场调查（询价）的方式来确定，甲方所得出的产品价格具有终局性，乙方对此不持任何异议。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3、前述产品的价格为到岸价、含税价，即乙方所供产品的价格中已包含货款、运输装卸费、税费、保管费、保险费、保管费等，甲方不另支付其他任何费用。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4、在满足前述第1、2、3款条件之前提下，甲方对乙方所供产品每季度按投标货物总价值的总优惠率结算货物价款。</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第二条 货物采购要求</w:t>
      </w:r>
    </w:p>
    <w:p>
      <w:pPr>
        <w:topLinePunct/>
        <w:autoSpaceDE w:val="0"/>
        <w:spacing w:line="360" w:lineRule="auto"/>
        <w:ind w:firstLine="480" w:firstLineChars="200"/>
        <w:jc w:val="left"/>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、所供产品是全新的一线优质后勤要求的环保品牌，是用一流的工艺和最佳材料制造而成的正品。</w:t>
      </w:r>
    </w:p>
    <w:p>
      <w:pPr>
        <w:topLinePunct/>
        <w:autoSpaceDE w:val="0"/>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2、供应的产品价格不得高于供货同期的株洲市之最低市场价，严格按照投标时投标价和优惠率结算货款。若所报价格高于市场价，愿承担该宗货物一倍及以上的惩罚性补偿。</w:t>
      </w:r>
    </w:p>
    <w:p>
      <w:pPr>
        <w:widowControl/>
        <w:autoSpaceDE w:val="0"/>
        <w:spacing w:after="120" w:line="360" w:lineRule="auto"/>
        <w:ind w:firstLine="480" w:firstLineChars="200"/>
        <w:rPr>
          <w:color w:val="000000" w:themeColor="text1"/>
          <w:szCs w:val="21"/>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3、产品的价格为到岸价、含税价，即乙方所供产品的价格中已包含货款、运输装卸费、税费、保管费、保险费、保管费等，甲方不另支付其他任何费用。</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rFonts w:hint="eastAsia" w:ascii="微软雅黑" w:hAnsi="微软雅黑" w:eastAsia="微软雅黑" w:cs="微软雅黑"/>
          <w:b/>
          <w:bCs/>
          <w:sz w:val="24"/>
        </w:rPr>
        <w:t>★</w:t>
      </w:r>
      <w:r>
        <w:rPr>
          <w:color w:val="000000" w:themeColor="text1"/>
          <w:sz w:val="24"/>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开标时需</w:t>
      </w:r>
      <w:r>
        <w:rPr>
          <w:rFonts w:hint="eastAsia" w:ascii="宋体" w:hAnsi="宋体" w:cs="宋体"/>
          <w:b/>
          <w:color w:val="000000" w:themeColor="text1"/>
          <w:sz w:val="24"/>
          <w14:textFill>
            <w14:solidFill>
              <w14:schemeClr w14:val="tx1"/>
            </w14:solidFill>
          </w14:textFill>
        </w:rPr>
        <w:t>提供</w:t>
      </w:r>
      <w:r>
        <w:rPr>
          <w:rFonts w:hint="eastAsia" w:ascii="宋体" w:hAnsi="宋体" w:cs="宋体"/>
          <w:b/>
          <w:sz w:val="24"/>
        </w:rPr>
        <w:t>带</w:t>
      </w:r>
      <w:r>
        <w:rPr>
          <w:rFonts w:hint="eastAsia" w:ascii="微软雅黑" w:hAnsi="微软雅黑" w:eastAsia="微软雅黑" w:cs="微软雅黑"/>
          <w:b/>
          <w:sz w:val="24"/>
        </w:rPr>
        <w:t>★</w:t>
      </w:r>
      <w:r>
        <w:rPr>
          <w:rFonts w:hint="eastAsia" w:ascii="宋体" w:hAnsi="宋体" w:cs="宋体"/>
          <w:b/>
          <w:color w:val="000000" w:themeColor="text1"/>
          <w:sz w:val="24"/>
          <w14:textFill>
            <w14:solidFill>
              <w14:schemeClr w14:val="tx1"/>
            </w14:solidFill>
          </w14:textFill>
        </w:rPr>
        <w:t>样品或图片，并提供生产许可证、技术性能标准、产品合格证、生产批件及检测报告等相关资料复印件。</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、所供货物的产地、规格型号、花色、品种与所提供的样品图片相符。</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、供货地点时间：按后勤采购要求分批供应，及时送达学校后勤处。</w:t>
      </w:r>
    </w:p>
    <w:p>
      <w:pPr>
        <w:widowControl/>
        <w:autoSpaceDE w:val="0"/>
        <w:spacing w:after="120" w:line="360" w:lineRule="auto"/>
        <w:ind w:firstLine="480" w:firstLineChars="200"/>
        <w:rPr>
          <w:rFonts w:ascii="Calibri" w:hAnsi="Calibri"/>
          <w:color w:val="000000" w:themeColor="text1"/>
          <w:sz w:val="24"/>
          <w14:textFill>
            <w14:solidFill>
              <w14:schemeClr w14:val="tx1"/>
            </w14:solidFill>
          </w14:textFill>
        </w:rPr>
      </w:pPr>
      <w:r>
        <w:rPr>
          <w:rFonts w:ascii="Calibri" w:hAnsi="Calibri"/>
          <w:color w:val="000000" w:themeColor="text1"/>
          <w:sz w:val="24"/>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所有货物按照参数明细要在电子卖场分别上架（货物无链接不得采购），且价格不得高于政采云成交平均价和合同价格（按照最低价执行），采购人按照需求下单，确保物品质量（有样品的要与样品对比），要先下单后送货。</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第三条  产品缺陷及产品缺陷的处理方式</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应确保其提供的所有产品品质及质量均符合国家强制性执行标准、国家标准或行业标准，鉴于前述，乙方承诺：其向甲方提供之所有产品，其质量保证期均不得低于12个月（自该产品经甲方验收合格并交付使用之日起算），如国家、行业对该产品规定的质量保证期高于12个月的，则以国家、行业对该产品规定的质量保证期限为准；如该产品在质量保证期内发生质量或故障缺陷，则乙方应负责对该产品的质量或故障缺陷予以修复，因此产生的费用由乙方承担，且该产品的质量保证期限自该质量或故障消除后的次日重新开始计算；如该产品在质量保证期内连续或累计出现同一质量或故障缺陷的，则乙方应负责对该产品予以更换，因此产生的费用由乙方承担，且该更换产品的质量保证期限自该产品经甲方验收合格并交付使用后的次日重新开始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应确保其所供产品是全新的，是用一流的工艺和最佳材料制造而成的正品，并完全符合认购时约定的质量、规格和性能的要求。乙方应确保其所供产品在正确安装、正常使用和保养条件下，在其使用寿命内应符合工艺、性能、使用的标准及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甲、乙双方约定：乙方所供任一产品经验收合格并交付使用后在前述第1款所约定的质量保证期内，若该产品因设计、工艺或材料方面的缺陷出现无法正常使用、运行故障、不能满足设计或工艺要求、不能达到该产品使用性能等情形的，则由甲方负责修缮或采取其他补救措施，但因此产生的费用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乙方所供产品之数量、产地、规格型号、花色、品种与约定不符或缺少产品合格证、检验证书、出厂证、使用说明书、技术及性能标准等文件资料（含文件不齐备的情形）的，甲方有权拒收该产品，乙方应采取更换、弥补、补充等补救措施，因此所产生的费用由乙方承担，并不得因此免除乙方逾期交货的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5、乙方所供产品经安装验收后或在质量保证期内，如出现下列产品缺陷情形之一的，乙方应负责采取维修、更换、弥补措施，并承担因此所发生的费用：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（1）产品选用材料与约定或设计、工艺要求不符的；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（2）产品不能正常使用或运行的；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（3）产品实际运行状况或性能与双方约定或该产品设计、标注的使用性能、标准不符的；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（4）产品不能满足工艺、设计、约定的功能或要求的；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（5）产品故障率高，月运行率或完好率低于80%的；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（6）产品具有不利于人身安全或财产安全之使用、安全缺陷或隐患的；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（7）产品系国家、行业规定的淘汰或限制使用产品的；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（8）产品运行或使用的能耗标准明显高于其他同类产品的；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（9）其他甲方确认的产品质量、使用、安全、功能缺陷等（以下简称产品缺陷）情形。</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鉴于前述，甲、乙双方约定：前述（1）至（9）项产品缺陷，甲方有权自行确认或甲方有权委托第三方（中介机构或质量技术、安全监督部门）通过鉴定程序予以确认，乙方对该产品缺陷之确认或鉴定程序及确认或鉴定结论均不持异议；如产品缺陷需通过第三方鉴定确定的，因此所发生的送检样品及检验费用，均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乙方承诺：因履行所供产品缺陷之品质保证义务（包括并不限于本条前述第1至5款条款所列全部义务），乙方应自收到甲方产品缺陷通知（通知形式包括并不限于书面、电话、电子邮件、传真等）之日起3天内，采取维修、更换、弥补等补救措施来消除产品缺陷，并承担因此所产生的费用；逾期未采取维修、更换、弥补等补救措施或虽采取了维修、更换、弥补等补救措施但仍未能消除产品缺陷的，甲方有权自行采取其他方式予以补救或救济，因此产生的风险、责任及费用均由乙方自行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第四条  产品缺陷的索赔</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鉴于乙方为甲方所需产品之供货商，甲、乙双方约定：凡因本产品缺陷（包括并不限于产品品质、质量、使用、功能、安全、技术、设计、材质等缺陷，下同）所致之损失（包括直接或间接损失、人身或财产损失，下同），甲方向乙方出具产品缺陷依据（产品缺陷依据甲方有权委托第三方通过鉴定程序来确认，乙方对该产品缺陷鉴定程序及鉴定结论自愿放弃抗辩权）及损失依据，乙方即应向甲方承担先行赔付的责任，乙方向甲方承担赔偿责任后，有权向其他责任方追偿。</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所供产品在检验、验收期内或质保期内，经甲方检验或甲方委托的第三人鉴定后，确认该产品与双方约定的产品品质不符或存在品质缺陷的，甲方有权选择下列途径、方式之一或综合二种以上的途径、方式向乙方索赔，乙方则对甲方索赔的方式自愿放弃抗辩权：</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无条件退货，将该产品的货款返还甲方，乙方并应承担由此发生的一切损失和费用，该损失和费用包括并不限于利息、银行手续费、运费、保险费、检验费、仓储费、装卸费、直接损失和间接损失、人身损失和财产损失、保管费及甲方因实现本权利所发生的其它合理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（2）如该产品经修复，尚有使用价值的，则根据该产品的可利用程度、实际价值、以及甲方因此所遭受的损失金额，甲方可折价受让该产品，但受让价格由甲方确定；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如该产品部分缺陷可用新零件、部件或设备来更换缺陷部分，使之达到或具备正常的使用功能，则甲方可允许乙方对该产品的缺陷予以修复，但因此所产生的费用、风险及责任均由乙方自行承担，并该产品缺陷的质量保证期自该产品缺陷消除之日起重新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3、自甲方向乙方发出索赔通知之日起7天内，乙方未作答复的，即视为乙方接受甲方提出的索赔条件，甲方有权以乙方的货款直接充抵该产品缺陷之索赔款。</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第五条  产品货款结算、支付方式及期限</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乙方所供产品之货款，甲、乙双方应根据本合同诸条款所约定之内容、供货单、验收单等文件资料每半年就产品货款、违约金、赔偿金等内容结算一次，结算金额以人民币计价，如有结余并乙方向甲方提供正式发票后，则甲方向乙方支付货款的条件成就，在未办理结算及乙方未提供结算发票前，甲方即有权拒付该货款。</w:t>
      </w:r>
    </w:p>
    <w:p>
      <w:pPr>
        <w:topLinePunct/>
        <w:spacing w:line="360" w:lineRule="auto"/>
        <w:ind w:firstLine="482" w:firstLineChars="200"/>
        <w:jc w:val="left"/>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甲、乙双方依前款约定的程序办理货物价款结算时，结算清单上应注明品牌、规格、单价、数量等内容，合同到期前从所结算货款中预留1万作为产品质保金，质保期届满后，如产品未出现缺陷故障或质量缺陷，则甲方应将该质保金返还给乙方（本金，不计息）；如产品在质保期内出现缺陷故障或质量缺陷，则该质保金作为违约金，甲方有权不予返还给乙方。</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3、乙方指定的收款帐户为：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第六条 售后服务要求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1、所有货物保修期按国家相关规定，如有特殊情况请于标书中注明。保修期起始日期按验收合格日期计算，保修期内应免费上门维修。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2、供货商应提供维修电话及联系人，用户报修后，须在下一工作日内派人员上门现场维护，并在48小时内解决问题。在规定时间内不能解决问题的设备，应提供相同档次的设备给用户代用。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3、保修期内，同一批产品30天内连续多次出现同一故障，供货商须无条件免费更换相应档次的货物。</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第七条  违约责任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1、乙方违反本合同或单次、单项送货单所载明的交货期限之约定，逾期交付货物的，则应以该批货物总价款的5%/天为标准，向甲方支付逾期交货违约金。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违反本合同或单次、单项送货单所载明的产品品种、花色、规则型号、品质之约定，所交产品不符的，甲方有权拒收该批产品，乙方除应承担更换及因此产生的损失和费用的责任外，如因此导致逾期交货的，同样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违反本合同第三条2款之约定，随机附带的产品文件资料及配品、随机工具不齐的，乙方除应承担补足、补齐的责任外，因此导致逾期交货的，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质保期内，如产品出现质量、缺陷、使用、功能、性能等方面故障的，乙方应自接到甲方的维修、维护通知之时起24小时内到达现场维修，并最迟应于到达现场之时起24小时内维修完毕并排除故障，使之达到正常使用的功能。乙方逾期未能到达现场维修或逾期未能排除故障的，应以500元/时为标准，向甲方支付违约金；甲方并有权另请第三方维修，因此产生的费用及导致的损失均应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第八条  其他特别约定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1、就不可抗力事件对本合同履行之影响及补救措施，双方约定如下：</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（1）经双方确认属于不可抗力的事件（即地震、山崩、海啸、泥石流、地陷、战争、骚乱等事件），致影响本合同履行的，履行合同的期限应予以延长，延长的期限应相当于事件所影响的期间；</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 受不可抗力事件影响的一方应在不可抗力事件发生后，即时以传真、电报、电话、电子数据等形式通知另一方，并在事件发生后14天内，将有关部门出具的证明文件用纸质稿送达给另一方。如果不可抗力事件影响期限持续60天以上的，双方应在合理的时限内协商达成变更本合同条款的补充协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对其所供产品或提供的服务，应严格执行国家的三包政策规定，如产品生产商、供应商提供或承诺的质保期期限、产品品质保证的内容或项目与国家、行业规定的三包内容不一致的，则按较优的三包规定来执行。</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3、对复杂、成套设备或产品（具体由甲方界定），应由乙方负责调试、安装，给予甲方的操作人员以技术支持或培训，并承担因此所产生相关费用。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甲、乙双方约定：守约方因实现本合同权利所发生的律师费、诉讼费、仲裁费、财产保全费、执行费、公证费、公告费、检验费、评估费、鉴定费、拍卖费、交通费、查询费、通讯费、差旅费等，均应由违约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5、双方确认的法律文书、资料、函件的送达地址及送达人为：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（1）甲方：湖南化工职业技术学院后勤处负责人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（2）乙方： </w:t>
      </w:r>
    </w:p>
    <w:p>
      <w:pPr>
        <w:pStyle w:val="8"/>
      </w:pPr>
      <w:r>
        <w:rPr>
          <w:rFonts w:hint="eastAsia" w:ascii="宋体" w:hAnsi="宋体" w:cs="宋体"/>
          <w:color w:val="000000" w:themeColor="text1"/>
          <w:sz w:val="24"/>
          <w14:textFill>
            <w14:solidFill>
              <w14:schemeClr w14:val="tx1"/>
            </w14:solidFill>
          </w14:textFill>
        </w:rPr>
        <w:t>任何一方送达地址或送达人发生变更的，应书面通告另一方，否则，相对方依上述双方确认的地址、送达人而送达法律之文书、资料、函件等，均视为送达。</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第九条 投标样品</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1、本项目需提供以下样品：毛巾（一条）、抽纸（一包）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、样品单独封装</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每个样品贴上单位标签</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由采购人签收。所有样品必须在投标截止时间前提交，否则，采购人或采购代理机构依法拒收。</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中标人的样品将由采购人按规定进行保管、封存，作为履约验收的参考依据之一。若中标人所供货物不对板，采购人有权拒收或退货，并拒绝付款。采购人有权视情节轻重，处以警告、终止合同并追究相应法律责任等处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、与提供样品有关的一切费用由投标人自理。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、采购人对投标人所递交样品的破损或质量不负任何责任，未中标的投标人样品招标人于开标活动结束后及时退还，3日内未领走的，采购人有权自行处置。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p>
    <w:p>
      <w:pPr>
        <w:topLinePunct/>
        <w:spacing w:line="360" w:lineRule="auto"/>
        <w:ind w:firstLine="482" w:firstLineChars="200"/>
        <w:jc w:val="left"/>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rPr>
          <w:rFonts w:ascii="黑体" w:hAnsi="黑体" w:eastAsia="黑体" w:cs="黑体"/>
          <w:b/>
          <w:color w:val="000000"/>
          <w:kern w:val="0"/>
          <w:sz w:val="24"/>
        </w:rPr>
      </w:pPr>
    </w:p>
    <w:p>
      <w:pPr>
        <w:topLinePunct/>
        <w:spacing w:line="360" w:lineRule="auto"/>
        <w:jc w:val="left"/>
        <w:rPr>
          <w:rFonts w:hint="eastAsia" w:ascii="黑体" w:hAnsi="黑体" w:eastAsia="黑体" w:cs="黑体"/>
          <w:b/>
          <w:color w:val="000000"/>
          <w:kern w:val="0"/>
          <w:sz w:val="24"/>
        </w:rPr>
      </w:pPr>
    </w:p>
    <w:p>
      <w:pPr>
        <w:topLinePunct/>
        <w:spacing w:line="360" w:lineRule="auto"/>
        <w:jc w:val="left"/>
        <w:rPr>
          <w:rFonts w:hint="eastAsia" w:ascii="黑体" w:hAnsi="黑体" w:eastAsia="黑体" w:cs="黑体"/>
          <w:b/>
          <w:color w:val="000000"/>
          <w:kern w:val="0"/>
          <w:sz w:val="24"/>
        </w:rPr>
      </w:pPr>
    </w:p>
    <w:p>
      <w:pPr>
        <w:topLinePunct/>
        <w:spacing w:line="360" w:lineRule="auto"/>
        <w:jc w:val="left"/>
        <w:rPr>
          <w:rFonts w:hint="eastAsia" w:ascii="黑体" w:hAnsi="黑体" w:eastAsia="黑体" w:cs="黑体"/>
          <w:b/>
          <w:color w:val="000000"/>
          <w:kern w:val="0"/>
          <w:sz w:val="24"/>
        </w:rPr>
      </w:pPr>
    </w:p>
    <w:p>
      <w:pPr>
        <w:topLinePunct/>
        <w:spacing w:line="360" w:lineRule="auto"/>
        <w:jc w:val="left"/>
        <w:rPr>
          <w:rFonts w:ascii="黑体" w:hAnsi="黑体" w:eastAsia="黑体" w:cs="黑体"/>
          <w:b/>
          <w:color w:val="000000"/>
          <w:kern w:val="0"/>
          <w:sz w:val="24"/>
        </w:rPr>
      </w:pPr>
      <w:bookmarkStart w:id="16" w:name="_GoBack"/>
      <w:bookmarkEnd w:id="16"/>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jc w:val="left"/>
        <w:rPr>
          <w:rFonts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w:t>
      </w:r>
      <w:bookmarkStart w:id="9"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9"/>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1、</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2、</w:t>
      </w:r>
    </w:p>
    <w:p>
      <w:pPr>
        <w:widowControl/>
        <w:spacing w:line="420" w:lineRule="exact"/>
        <w:ind w:firstLine="960" w:firstLineChars="400"/>
        <w:jc w:val="left"/>
        <w:rPr>
          <w:rFonts w:ascii="宋体" w:hAnsi="宋体" w:cs="宋体"/>
          <w:color w:val="000000"/>
          <w:kern w:val="0"/>
          <w:sz w:val="24"/>
        </w:rPr>
      </w:pPr>
    </w:p>
    <w:p>
      <w:pPr>
        <w:widowControl/>
        <w:spacing w:line="420" w:lineRule="exact"/>
        <w:ind w:firstLine="964" w:firstLineChars="400"/>
        <w:jc w:val="left"/>
        <w:rPr>
          <w:rFonts w:ascii="宋体" w:hAnsi="宋体" w:cs="宋体"/>
          <w:b/>
          <w:bCs/>
          <w:color w:val="000000"/>
          <w:kern w:val="0"/>
          <w:sz w:val="24"/>
        </w:rPr>
      </w:pPr>
      <w:bookmarkStart w:id="10" w:name="_Hlk160811156"/>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10"/>
    <w:p>
      <w:pPr>
        <w:adjustRightInd w:val="0"/>
        <w:snapToGrid w:val="0"/>
        <w:spacing w:line="480" w:lineRule="auto"/>
        <w:ind w:right="23" w:rightChars="11" w:firstLine="480" w:firstLineChars="200"/>
        <w:rPr>
          <w:rFonts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widowControl/>
        <w:spacing w:line="375" w:lineRule="atLeast"/>
        <w:ind w:firstLine="102" w:firstLineChars="49"/>
        <w:jc w:val="left"/>
        <w:rPr>
          <w:color w:val="000000"/>
        </w:rPr>
      </w:pPr>
    </w:p>
    <w:p>
      <w:pPr>
        <w:widowControl/>
        <w:spacing w:line="375" w:lineRule="atLeast"/>
        <w:ind w:firstLine="137" w:firstLineChars="49"/>
        <w:jc w:val="left"/>
        <w:rPr>
          <w:rFonts w:ascii="黑体" w:hAnsi="黑体" w:eastAsia="黑体" w:cs="黑体"/>
          <w:bCs/>
          <w:color w:val="000000"/>
          <w:kern w:val="0"/>
          <w:sz w:val="28"/>
          <w:szCs w:val="28"/>
        </w:rPr>
      </w:pPr>
    </w:p>
    <w:p>
      <w:pPr>
        <w:widowControl/>
        <w:spacing w:before="124" w:beforeLines="40" w:after="124" w:afterLines="40"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7"/>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7"/>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sectPr>
          <w:headerReference r:id="rId3" w:type="default"/>
          <w:pgSz w:w="11906" w:h="16838"/>
          <w:pgMar w:top="1440" w:right="1134" w:bottom="1440" w:left="1418" w:header="851" w:footer="992" w:gutter="0"/>
          <w:cols w:space="720" w:num="1"/>
          <w:docGrid w:type="lines" w:linePitch="312" w:charSpace="0"/>
        </w:sect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olor w:val="000000"/>
          <w:szCs w:val="21"/>
        </w:rPr>
      </w:pPr>
      <w:r>
        <w:rPr>
          <w:rFonts w:hint="eastAsia" w:ascii="宋体" w:hAnsi="宋体"/>
          <w:color w:val="000000"/>
          <w:szCs w:val="21"/>
        </w:rPr>
        <w:t xml:space="preserve">                                                               金额单位：人民币元</w:t>
      </w:r>
    </w:p>
    <w:tbl>
      <w:tblPr>
        <w:tblStyle w:val="19"/>
        <w:tblpPr w:leftFromText="180" w:rightFromText="180" w:vertAnchor="text" w:horzAnchor="page" w:tblpX="1791" w:tblpY="197"/>
        <w:tblOverlap w:val="never"/>
        <w:tblW w:w="8840" w:type="dxa"/>
        <w:tblInd w:w="0" w:type="dxa"/>
        <w:tblLayout w:type="fixed"/>
        <w:tblCellMar>
          <w:top w:w="0" w:type="dxa"/>
          <w:left w:w="108" w:type="dxa"/>
          <w:bottom w:w="0" w:type="dxa"/>
          <w:right w:w="108" w:type="dxa"/>
        </w:tblCellMar>
      </w:tblPr>
      <w:tblGrid>
        <w:gridCol w:w="801"/>
        <w:gridCol w:w="1202"/>
        <w:gridCol w:w="1275"/>
        <w:gridCol w:w="762"/>
        <w:gridCol w:w="750"/>
        <w:gridCol w:w="763"/>
        <w:gridCol w:w="700"/>
        <w:gridCol w:w="837"/>
        <w:gridCol w:w="837"/>
        <w:gridCol w:w="913"/>
      </w:tblGrid>
      <w:tr>
        <w:tblPrEx>
          <w:tblCellMar>
            <w:top w:w="0" w:type="dxa"/>
            <w:left w:w="108" w:type="dxa"/>
            <w:bottom w:w="0" w:type="dxa"/>
            <w:right w:w="108" w:type="dxa"/>
          </w:tblCellMar>
        </w:tblPrEx>
        <w:trPr>
          <w:trHeight w:val="658"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kern w:val="0"/>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序号</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货物名称</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规格型号</w:t>
            </w:r>
          </w:p>
        </w:tc>
        <w:tc>
          <w:tcPr>
            <w:tcW w:w="2275" w:type="dxa"/>
            <w:gridSpan w:val="3"/>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p>
          <w:p>
            <w:pPr>
              <w:widowControl/>
              <w:ind w:firstLine="1004" w:firstLineChars="500"/>
              <w:textAlignment w:val="center"/>
              <w:rPr>
                <w:rFonts w:ascii="宋体" w:hAnsi="宋体" w:cs="楷体"/>
                <w:b/>
                <w:bCs/>
                <w:color w:val="000000" w:themeColor="text1"/>
                <w:kern w:val="0"/>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品牌</w:t>
            </w:r>
          </w:p>
          <w:p>
            <w:pPr>
              <w:widowControl/>
              <w:jc w:val="center"/>
              <w:textAlignment w:val="center"/>
              <w:rPr>
                <w:rFonts w:ascii="宋体" w:hAnsi="宋体" w:cs="楷体"/>
                <w:b/>
                <w:bCs/>
                <w:color w:val="000000" w:themeColor="text1"/>
                <w:kern w:val="0"/>
                <w:sz w:val="20"/>
                <w:szCs w:val="20"/>
                <w14:textFill>
                  <w14:solidFill>
                    <w14:schemeClr w14:val="tx1"/>
                  </w14:solidFill>
                </w14:textFill>
              </w:rPr>
            </w:pP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单位</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kern w:val="0"/>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数量</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宋体"/>
                <w:b/>
                <w:bCs/>
                <w:color w:val="FF0000"/>
                <w:kern w:val="0"/>
                <w:sz w:val="20"/>
                <w:szCs w:val="20"/>
              </w:rPr>
            </w:pPr>
            <w:r>
              <w:rPr>
                <w:rFonts w:hint="eastAsia" w:ascii="宋体" w:hAnsi="宋体" w:cs="宋体"/>
                <w:b/>
                <w:bCs/>
                <w:color w:val="FF0000"/>
                <w:kern w:val="0"/>
                <w:sz w:val="20"/>
                <w:szCs w:val="20"/>
              </w:rPr>
              <w:t>报价</w:t>
            </w:r>
          </w:p>
        </w:tc>
        <w:tc>
          <w:tcPr>
            <w:tcW w:w="913" w:type="dxa"/>
            <w:tcBorders>
              <w:top w:val="single" w:color="000000" w:sz="4" w:space="0"/>
              <w:left w:val="single" w:color="000000" w:sz="4" w:space="0"/>
              <w:bottom w:val="single" w:color="000000" w:sz="4" w:space="0"/>
              <w:right w:val="single" w:color="000000" w:sz="4" w:space="0"/>
            </w:tcBorders>
            <w:vAlign w:val="center"/>
          </w:tcPr>
          <w:p>
            <w:pPr>
              <w:widowControl/>
              <w:ind w:left="100" w:hanging="100" w:hangingChars="50"/>
              <w:jc w:val="center"/>
              <w:rPr>
                <w:rFonts w:ascii="宋体" w:hAnsi="宋体" w:cs="宋体"/>
                <w:b/>
                <w:bCs/>
                <w:color w:val="FF0000"/>
                <w:kern w:val="0"/>
                <w:sz w:val="20"/>
                <w:szCs w:val="20"/>
              </w:rPr>
            </w:pPr>
            <w:r>
              <w:rPr>
                <w:rFonts w:hint="eastAsia" w:ascii="宋体" w:hAnsi="宋体" w:cs="宋体"/>
                <w:b/>
                <w:bCs/>
                <w:color w:val="FF0000"/>
                <w:kern w:val="0"/>
                <w:sz w:val="20"/>
                <w:szCs w:val="20"/>
              </w:rPr>
              <w:t>优惠率</w:t>
            </w:r>
          </w:p>
        </w:tc>
      </w:tr>
      <w:tr>
        <w:tblPrEx>
          <w:tblCellMar>
            <w:top w:w="0" w:type="dxa"/>
            <w:left w:w="108" w:type="dxa"/>
            <w:bottom w:w="0" w:type="dxa"/>
            <w:right w:w="108" w:type="dxa"/>
          </w:tblCellMar>
        </w:tblPrEx>
        <w:trPr>
          <w:trHeight w:val="522"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签字笔</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0.5/0.7</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宝克</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得力</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晨光</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支</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2600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restart"/>
            <w:tcBorders>
              <w:top w:val="single" w:color="000000" w:sz="4" w:space="0"/>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8"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中性笔</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0.5</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三木</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得力</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晨光</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支</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7400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2"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透明皂、香皂</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舒肤佳</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力士</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六神</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1800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73"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毛巾</w:t>
            </w:r>
            <w:r>
              <w:rPr>
                <w:rFonts w:hint="eastAsia" w:ascii="宋体" w:hAnsi="宋体" w:cs="宋体"/>
                <w:color w:val="000000"/>
                <w:kern w:val="0"/>
                <w:sz w:val="20"/>
                <w:szCs w:val="20"/>
              </w:rPr>
              <w:t>★</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洁丽雅</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三利</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浮日</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250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4"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洗手液</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300ml</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威露士</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蓝月亮</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立白</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瓶</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7"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茶叶</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一级绿茶200g</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古丈毛尖</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信阳毛尖</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珍颜牌富硒绿茶</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包</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315</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24"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抽纸</w:t>
            </w:r>
            <w:r>
              <w:rPr>
                <w:rFonts w:hint="eastAsia" w:ascii="宋体" w:hAnsi="宋体" w:cs="宋体"/>
                <w:color w:val="000000"/>
                <w:kern w:val="0"/>
                <w:sz w:val="20"/>
                <w:szCs w:val="20"/>
              </w:rPr>
              <w:t>★</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3包*210ml*600抽</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心相印</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维达</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清风</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2400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752"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卷纸</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12圈（3层*270段/圈）</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心相印</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维达</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清风</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9"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电池</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南孚</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双鹿</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金霸王</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节</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9"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电池</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南孚</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双鹿</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金霸王</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节</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643"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优惠报价汇总/元</w:t>
            </w:r>
          </w:p>
        </w:tc>
        <w:tc>
          <w:tcPr>
            <w:tcW w:w="5924" w:type="dxa"/>
            <w:gridSpan w:val="7"/>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Cs w:val="21"/>
                <w14:textFill>
                  <w14:solidFill>
                    <w14:schemeClr w14:val="tx1"/>
                  </w14:solidFill>
                </w14:textFill>
              </w:rPr>
            </w:pPr>
          </w:p>
        </w:tc>
        <w:tc>
          <w:tcPr>
            <w:tcW w:w="913" w:type="dxa"/>
            <w:tcBorders>
              <w:top w:val="single" w:color="000000" w:sz="4" w:space="0"/>
              <w:left w:val="nil"/>
              <w:bottom w:val="single" w:color="000000" w:sz="4" w:space="0"/>
              <w:right w:val="single" w:color="000000" w:sz="4" w:space="0"/>
            </w:tcBorders>
            <w:vAlign w:val="center"/>
          </w:tcPr>
          <w:p>
            <w:pPr>
              <w:jc w:val="center"/>
              <w:rPr>
                <w:rFonts w:ascii="宋体" w:hAnsi="宋体" w:cs="宋体"/>
                <w:color w:val="000000" w:themeColor="text1"/>
                <w:szCs w:val="21"/>
                <w14:textFill>
                  <w14:solidFill>
                    <w14:schemeClr w14:val="tx1"/>
                  </w14:solidFill>
                </w14:textFill>
              </w:rPr>
            </w:pPr>
          </w:p>
        </w:tc>
      </w:tr>
    </w:tbl>
    <w:p>
      <w:pPr>
        <w:widowControl/>
        <w:spacing w:line="380" w:lineRule="exact"/>
        <w:ind w:firstLine="240" w:firstLineChars="100"/>
        <w:jc w:val="left"/>
        <w:rPr>
          <w:rFonts w:ascii="宋体" w:hAnsi="宋体" w:cs="宋体"/>
          <w:color w:val="000000"/>
          <w:sz w:val="24"/>
        </w:rPr>
      </w:pPr>
      <w:bookmarkStart w:id="11" w:name="_Hlk169256267"/>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w:t>
      </w:r>
      <w:bookmarkEnd w:id="11"/>
      <w:r>
        <w:rPr>
          <w:rFonts w:hint="eastAsia" w:ascii="宋体" w:hAnsi="宋体" w:cs="宋体"/>
          <w:color w:val="FF0000"/>
          <w:kern w:val="0"/>
          <w:szCs w:val="21"/>
        </w:rPr>
        <w:t>[分项报价×（1-优惠率）]</w:t>
      </w: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宋体" w:hAnsi="宋体" w:cs="宋体"/>
          <w:bCs/>
          <w:color w:val="000000"/>
          <w:sz w:val="24"/>
        </w:rPr>
      </w:pPr>
      <w:bookmarkStart w:id="12"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12"/>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before="156" w:beforeLines="50" w:line="360" w:lineRule="auto"/>
        <w:jc w:val="center"/>
        <w:rPr>
          <w:rFonts w:hint="eastAsia" w:ascii="微软雅黑" w:hAnsi="微软雅黑" w:eastAsia="微软雅黑" w:cs="微软雅黑"/>
          <w:b/>
          <w:color w:val="000000"/>
          <w:sz w:val="28"/>
          <w:szCs w:val="28"/>
        </w:rPr>
      </w:pP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olor w:val="000000"/>
          <w:szCs w:val="21"/>
        </w:rPr>
      </w:pPr>
      <w:r>
        <w:rPr>
          <w:rFonts w:hint="eastAsia" w:ascii="宋体" w:hAnsi="宋体"/>
          <w:color w:val="000000"/>
          <w:szCs w:val="21"/>
        </w:rPr>
        <w:t xml:space="preserve">                                                               金额单位：人民币元</w:t>
      </w:r>
    </w:p>
    <w:p>
      <w:pPr>
        <w:widowControl/>
        <w:spacing w:line="380" w:lineRule="exact"/>
        <w:ind w:firstLine="240" w:firstLineChars="100"/>
        <w:jc w:val="left"/>
        <w:rPr>
          <w:rFonts w:ascii="宋体" w:hAnsi="宋体" w:cs="宋体"/>
          <w:color w:val="000000"/>
          <w:sz w:val="24"/>
        </w:rPr>
      </w:pP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pStyle w:val="18"/>
        <w:ind w:firstLine="482"/>
        <w:rPr>
          <w:rFonts w:ascii="黑体" w:hAnsi="黑体" w:eastAsia="黑体" w:cs="黑体"/>
          <w:b/>
          <w:color w:val="000000"/>
          <w:sz w:val="24"/>
        </w:rPr>
      </w:pPr>
    </w:p>
    <w:tbl>
      <w:tblPr>
        <w:tblStyle w:val="19"/>
        <w:tblpPr w:leftFromText="180" w:rightFromText="180" w:vertAnchor="page" w:horzAnchor="page" w:tblpX="1451" w:tblpY="2613"/>
        <w:tblOverlap w:val="never"/>
        <w:tblW w:w="8907" w:type="dxa"/>
        <w:tblInd w:w="0" w:type="dxa"/>
        <w:tblLayout w:type="fixed"/>
        <w:tblCellMar>
          <w:top w:w="0" w:type="dxa"/>
          <w:left w:w="108" w:type="dxa"/>
          <w:bottom w:w="0" w:type="dxa"/>
          <w:right w:w="108" w:type="dxa"/>
        </w:tblCellMar>
      </w:tblPr>
      <w:tblGrid>
        <w:gridCol w:w="788"/>
        <w:gridCol w:w="1162"/>
        <w:gridCol w:w="1550"/>
        <w:gridCol w:w="813"/>
        <w:gridCol w:w="762"/>
        <w:gridCol w:w="838"/>
        <w:gridCol w:w="787"/>
        <w:gridCol w:w="670"/>
        <w:gridCol w:w="656"/>
        <w:gridCol w:w="881"/>
      </w:tblGrid>
      <w:tr>
        <w:tblPrEx>
          <w:tblCellMar>
            <w:top w:w="0" w:type="dxa"/>
            <w:left w:w="108" w:type="dxa"/>
            <w:bottom w:w="0" w:type="dxa"/>
            <w:right w:w="108" w:type="dxa"/>
          </w:tblCellMar>
        </w:tblPrEx>
        <w:trPr>
          <w:trHeight w:val="846"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序号</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物品名称</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规格型号</w:t>
            </w:r>
          </w:p>
        </w:tc>
        <w:tc>
          <w:tcPr>
            <w:tcW w:w="2413" w:type="dxa"/>
            <w:gridSpan w:val="3"/>
            <w:tcBorders>
              <w:top w:val="single" w:color="000000" w:sz="4" w:space="0"/>
              <w:left w:val="single" w:color="000000" w:sz="4" w:space="0"/>
              <w:bottom w:val="single" w:color="000000" w:sz="4" w:space="0"/>
              <w:right w:val="single" w:color="000000" w:sz="4" w:space="0"/>
            </w:tcBorders>
            <w:noWrap/>
            <w:vAlign w:val="center"/>
          </w:tcPr>
          <w:p>
            <w:pPr>
              <w:widowControl/>
              <w:ind w:firstLine="840" w:firstLineChars="400"/>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品牌</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单位</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数量</w:t>
            </w:r>
          </w:p>
        </w:tc>
        <w:tc>
          <w:tcPr>
            <w:tcW w:w="656" w:type="dxa"/>
            <w:tcBorders>
              <w:top w:val="single" w:color="000000" w:sz="4" w:space="0"/>
              <w:left w:val="single" w:color="000000" w:sz="4" w:space="0"/>
              <w:bottom w:val="single" w:color="000000" w:sz="4" w:space="0"/>
              <w:right w:val="single" w:color="000000" w:sz="4" w:space="0"/>
            </w:tcBorders>
          </w:tcPr>
          <w:p>
            <w:pPr>
              <w:widowControl/>
              <w:rPr>
                <w:rFonts w:ascii="宋体" w:hAnsi="宋体" w:cs="宋体"/>
                <w:color w:val="000000" w:themeColor="text1"/>
                <w:kern w:val="0"/>
                <w:sz w:val="20"/>
                <w:szCs w:val="20"/>
                <w14:textFill>
                  <w14:solidFill>
                    <w14:schemeClr w14:val="tx1"/>
                  </w14:solidFill>
                </w14:textFill>
              </w:rPr>
            </w:pPr>
          </w:p>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88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优惠率</w:t>
            </w:r>
          </w:p>
        </w:tc>
      </w:tr>
      <w:tr>
        <w:tblPrEx>
          <w:tblCellMar>
            <w:top w:w="0" w:type="dxa"/>
            <w:left w:w="108" w:type="dxa"/>
            <w:bottom w:w="0" w:type="dxa"/>
            <w:right w:w="108" w:type="dxa"/>
          </w:tblCellMar>
        </w:tblPrEx>
        <w:trPr>
          <w:trHeight w:val="387"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打印纸</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A4（500张/包、75g/m</w:t>
            </w:r>
            <w:r>
              <w:rPr>
                <w:rFonts w:hint="eastAsia" w:ascii="宋体" w:hAnsi="宋体" w:cs="宋体"/>
                <w:color w:val="000000" w:themeColor="text1"/>
                <w:kern w:val="0"/>
                <w:szCs w:val="21"/>
                <w:vertAlign w:val="superscript"/>
                <w14:textFill>
                  <w14:solidFill>
                    <w14:schemeClr w14:val="tx1"/>
                  </w14:solidFill>
                </w14:textFill>
              </w:rPr>
              <w:t>2</w:t>
            </w:r>
            <w:r>
              <w:rPr>
                <w:rFonts w:hint="eastAsia" w:ascii="宋体" w:hAnsi="宋体" w:cs="宋体"/>
                <w:color w:val="000000" w:themeColor="text1"/>
                <w:kern w:val="0"/>
                <w:szCs w:val="21"/>
                <w14:textFill>
                  <w14:solidFill>
                    <w14:schemeClr w14:val="tx1"/>
                  </w14:solidFill>
                </w14:textFill>
              </w:rPr>
              <w:t>）</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全通</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百旺</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天章</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包</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1600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restart"/>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9" w:hRule="atLeast"/>
        </w:trPr>
        <w:tc>
          <w:tcPr>
            <w:tcW w:w="788" w:type="dxa"/>
            <w:tcBorders>
              <w:top w:val="single" w:color="000000" w:sz="4" w:space="0"/>
              <w:left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1162" w:type="dxa"/>
            <w:vMerge w:val="restart"/>
            <w:tcBorders>
              <w:top w:val="single" w:color="000000" w:sz="4" w:space="0"/>
              <w:left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硒鼓</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2612</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788" w:type="dxa"/>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1162" w:type="dxa"/>
            <w:vMerge w:val="continue"/>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388</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55</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788" w:type="dxa"/>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162" w:type="dxa"/>
            <w:vMerge w:val="continue"/>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278/328</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788" w:type="dxa"/>
            <w:tcBorders>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p>
        </w:tc>
        <w:tc>
          <w:tcPr>
            <w:tcW w:w="1162" w:type="dxa"/>
            <w:vMerge w:val="continue"/>
            <w:tcBorders>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337</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97"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硒鼓加粉</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以上几种</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6"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键盘</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双飞燕</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罗技</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雷柏</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68"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鼠标</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常规，USB</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双飞燕</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罗技</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雷柏</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68"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报价汇总/元</w:t>
            </w:r>
          </w:p>
        </w:tc>
        <w:tc>
          <w:tcPr>
            <w:tcW w:w="1550" w:type="dxa"/>
            <w:tcBorders>
              <w:top w:val="single" w:color="000000" w:sz="4" w:space="0"/>
              <w:left w:val="single" w:color="000000" w:sz="4" w:space="0"/>
              <w:bottom w:val="single" w:color="000000" w:sz="4" w:space="0"/>
              <w:right w:val="nil"/>
            </w:tcBorders>
            <w:noWrap/>
            <w:vAlign w:val="center"/>
          </w:tcPr>
          <w:p>
            <w:pPr>
              <w:jc w:val="center"/>
              <w:rPr>
                <w:rFonts w:ascii="宋体" w:hAnsi="宋体" w:cs="宋体"/>
                <w:color w:val="000000" w:themeColor="text1"/>
                <w:szCs w:val="21"/>
                <w14:textFill>
                  <w14:solidFill>
                    <w14:schemeClr w14:val="tx1"/>
                  </w14:solidFill>
                </w14:textFill>
              </w:rPr>
            </w:pPr>
          </w:p>
        </w:tc>
        <w:tc>
          <w:tcPr>
            <w:tcW w:w="813" w:type="dxa"/>
            <w:tcBorders>
              <w:top w:val="single" w:color="000000" w:sz="4" w:space="0"/>
              <w:left w:val="nil"/>
              <w:bottom w:val="single" w:color="000000" w:sz="4" w:space="0"/>
              <w:right w:val="nil"/>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762" w:type="dxa"/>
            <w:tcBorders>
              <w:top w:val="single" w:color="000000" w:sz="4" w:space="0"/>
              <w:left w:val="nil"/>
              <w:bottom w:val="single" w:color="000000" w:sz="4" w:space="0"/>
              <w:right w:val="nil"/>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838" w:type="dxa"/>
            <w:tcBorders>
              <w:top w:val="single" w:color="000000" w:sz="4" w:space="0"/>
              <w:left w:val="nil"/>
              <w:bottom w:val="single" w:color="000000" w:sz="4" w:space="0"/>
              <w:right w:val="nil"/>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787" w:type="dxa"/>
            <w:tcBorders>
              <w:top w:val="single" w:color="000000" w:sz="4" w:space="0"/>
              <w:left w:val="nil"/>
              <w:bottom w:val="single" w:color="000000" w:sz="4" w:space="0"/>
              <w:right w:val="nil"/>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670" w:type="dxa"/>
            <w:tcBorders>
              <w:top w:val="single" w:color="000000" w:sz="4" w:space="0"/>
              <w:left w:val="nil"/>
              <w:bottom w:val="single" w:color="000000" w:sz="4" w:space="0"/>
              <w:right w:val="nil"/>
            </w:tcBorders>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656" w:type="dxa"/>
            <w:tcBorders>
              <w:top w:val="single" w:color="000000" w:sz="4" w:space="0"/>
              <w:left w:val="nil"/>
              <w:bottom w:val="single" w:color="000000" w:sz="4" w:space="0"/>
              <w:right w:val="nil"/>
            </w:tcBorders>
          </w:tcPr>
          <w:p>
            <w:pPr>
              <w:jc w:val="center"/>
              <w:rPr>
                <w:rFonts w:ascii="宋体" w:hAnsi="宋体" w:cs="宋体"/>
                <w:color w:val="000000" w:themeColor="text1"/>
                <w:szCs w:val="21"/>
                <w14:textFill>
                  <w14:solidFill>
                    <w14:schemeClr w14:val="tx1"/>
                  </w14:solidFill>
                </w14:textFill>
              </w:rPr>
            </w:pPr>
          </w:p>
        </w:tc>
        <w:tc>
          <w:tcPr>
            <w:tcW w:w="881" w:type="dxa"/>
            <w:tcBorders>
              <w:top w:val="single" w:color="000000" w:sz="4" w:space="0"/>
              <w:left w:val="nil"/>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bl>
    <w:p/>
    <w:p>
      <w:pPr>
        <w:pStyle w:val="2"/>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黑体" w:hAnsi="黑体" w:eastAsia="黑体" w:cs="黑体"/>
          <w:b/>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ind w:firstLine="420" w:firstLineChars="200"/>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8"/>
        <w:tabs>
          <w:tab w:val="left" w:pos="3420"/>
        </w:tabs>
        <w:rPr>
          <w:rFonts w:ascii="宋体" w:hAnsi="宋体"/>
          <w:bCs/>
          <w:szCs w:val="21"/>
        </w:rPr>
      </w:pPr>
    </w:p>
    <w:p>
      <w:pPr>
        <w:pStyle w:val="6"/>
        <w:rPr>
          <w:rFonts w:ascii="宋体" w:hAnsi="宋体"/>
          <w:bCs/>
          <w:color w:val="000000"/>
          <w:szCs w:val="21"/>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9"/>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6"/>
        <w:rPr>
          <w:rFonts w:hAnsi="黑体" w:cs="黑体"/>
          <w:b/>
          <w:color w:val="000000"/>
          <w:sz w:val="24"/>
        </w:rPr>
      </w:pPr>
    </w:p>
    <w:p>
      <w:pPr>
        <w:pStyle w:val="6"/>
        <w:rPr>
          <w:rFonts w:hAnsi="黑体" w:cs="黑体"/>
          <w:b/>
          <w:color w:val="000000"/>
          <w:sz w:val="24"/>
        </w:rPr>
      </w:pPr>
    </w:p>
    <w:p>
      <w:pPr>
        <w:pStyle w:val="6"/>
        <w:rPr>
          <w:rFonts w:hAnsi="黑体" w:cs="黑体"/>
          <w:b/>
          <w:color w:val="000000"/>
          <w:sz w:val="24"/>
        </w:rPr>
      </w:pPr>
    </w:p>
    <w:p/>
    <w:p>
      <w:pPr>
        <w:spacing w:line="500" w:lineRule="exact"/>
        <w:ind w:firstLine="482" w:firstLineChars="200"/>
        <w:rPr>
          <w:rFonts w:ascii="宋体" w:hAnsi="宋体" w:cs="宋体"/>
          <w:sz w:val="24"/>
        </w:rPr>
      </w:pPr>
      <w:r>
        <w:rPr>
          <w:rFonts w:hint="eastAsia" w:ascii="宋体" w:hAnsi="宋体" w:cs="宋体"/>
          <w:b/>
          <w:sz w:val="24"/>
        </w:rPr>
        <w:t>九、比选投标须知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十、投标纪律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3" w:name="OLE_LINK1"/>
      <w:r>
        <w:rPr>
          <w:rFonts w:hint="eastAsia" w:ascii="宋体" w:hAnsi="宋体" w:cs="宋体"/>
          <w:sz w:val="24"/>
        </w:rPr>
        <w:t>盖投标单位公章</w:t>
      </w:r>
      <w:bookmarkEnd w:id="13"/>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十一、比选投标文件的编制要求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6"/>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4" w:name="OLE_LINK3"/>
      <w:r>
        <w:rPr>
          <w:rFonts w:hint="eastAsia" w:ascii="宋体" w:hAnsi="宋体" w:cs="宋体"/>
          <w:sz w:val="24"/>
        </w:rPr>
        <w:t>投标单位</w:t>
      </w:r>
      <w:bookmarkEnd w:id="14"/>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十二、比选投标文件的份数与签署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w:t>
      </w:r>
      <w:r>
        <w:rPr>
          <w:rFonts w:hint="eastAsia" w:ascii="宋体" w:hAnsi="宋体" w:cs="宋体"/>
          <w:sz w:val="24"/>
          <w:lang w:val="en-US" w:eastAsia="zh-CN"/>
        </w:rPr>
        <w:t>二</w:t>
      </w:r>
      <w:r>
        <w:rPr>
          <w:rFonts w:hint="eastAsia" w:ascii="宋体" w:hAnsi="宋体" w:cs="宋体"/>
          <w:sz w:val="24"/>
        </w:rPr>
        <w:t>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十三、投标文件的密封与递交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w:t>
      </w:r>
      <w:r>
        <w:rPr>
          <w:rFonts w:hint="eastAsia" w:ascii="宋体" w:hAnsi="宋体" w:cs="宋体"/>
          <w:sz w:val="24"/>
        </w:rPr>
        <w:t>10会议室，由工作人员登记。投标时间截止后，逾期送达的投标书将被招标单位拒收，其投标书为无效投标书。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十四、评标办法和选取确认方式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8"/>
        <w:spacing w:after="0"/>
        <w:jc w:val="center"/>
        <w:rPr>
          <w:rFonts w:ascii="仿宋" w:hAnsi="仿宋" w:eastAsia="仿宋" w:cs="仿宋"/>
          <w:color w:val="FF0000"/>
          <w:sz w:val="28"/>
          <w:szCs w:val="28"/>
        </w:rPr>
      </w:pPr>
      <w:r>
        <w:rPr>
          <w:rFonts w:hint="eastAsia" w:ascii="仿宋" w:hAnsi="仿宋" w:eastAsia="仿宋" w:cs="仿宋"/>
          <w:b/>
          <w:bCs/>
          <w:sz w:val="28"/>
          <w:szCs w:val="28"/>
        </w:rPr>
        <w:t>比选</w:t>
      </w:r>
      <w:bookmarkStart w:id="15" w:name="_Hlk160818547"/>
      <w:r>
        <w:rPr>
          <w:rFonts w:hint="eastAsia" w:ascii="仿宋" w:hAnsi="仿宋" w:eastAsia="仿宋" w:cs="仿宋"/>
          <w:b/>
          <w:bCs/>
          <w:sz w:val="28"/>
          <w:szCs w:val="28"/>
        </w:rPr>
        <w:t>评分标准</w:t>
      </w:r>
      <w:bookmarkEnd w:id="15"/>
    </w:p>
    <w:tbl>
      <w:tblPr>
        <w:tblStyle w:val="19"/>
        <w:tblW w:w="10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8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691" w:type="dxa"/>
            <w:vAlign w:val="center"/>
          </w:tcPr>
          <w:p>
            <w:pPr>
              <w:spacing w:line="400" w:lineRule="exact"/>
              <w:jc w:val="center"/>
              <w:rPr>
                <w:rFonts w:hAnsi="仿宋_GB2312" w:cs="仿宋_GB2312"/>
                <w:b/>
                <w:bCs/>
                <w:sz w:val="24"/>
              </w:rPr>
            </w:pPr>
            <w:r>
              <w:rPr>
                <w:rFonts w:hint="eastAsia" w:hAnsi="仿宋_GB2312" w:cs="仿宋_GB2312"/>
                <w:b/>
                <w:bCs/>
                <w:sz w:val="24"/>
              </w:rPr>
              <w:t>评分因素</w:t>
            </w:r>
          </w:p>
        </w:tc>
        <w:tc>
          <w:tcPr>
            <w:tcW w:w="8503" w:type="dxa"/>
            <w:vAlign w:val="center"/>
          </w:tcPr>
          <w:p>
            <w:pPr>
              <w:spacing w:line="400" w:lineRule="exact"/>
              <w:jc w:val="center"/>
              <w:rPr>
                <w:rFonts w:hAnsi="仿宋_GB2312" w:cs="仿宋_GB2312"/>
                <w:b/>
                <w:bCs/>
                <w:sz w:val="24"/>
              </w:rPr>
            </w:pPr>
            <w:r>
              <w:rPr>
                <w:rFonts w:hint="eastAsia" w:hAnsi="仿宋_GB2312" w:cs="仿宋_GB2312"/>
                <w:b/>
                <w:bCs/>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1691" w:type="dxa"/>
            <w:vAlign w:val="center"/>
          </w:tcPr>
          <w:p>
            <w:pPr>
              <w:spacing w:line="400" w:lineRule="exact"/>
              <w:jc w:val="center"/>
              <w:rPr>
                <w:rFonts w:hAnsi="仿宋_GB2312" w:cs="仿宋_GB2312"/>
                <w:sz w:val="24"/>
              </w:rPr>
            </w:pPr>
            <w:r>
              <w:rPr>
                <w:rFonts w:hint="eastAsia" w:hAnsi="仿宋_GB2312" w:cs="仿宋_GB2312"/>
                <w:sz w:val="24"/>
              </w:rPr>
              <w:t>投标报价</w:t>
            </w:r>
          </w:p>
          <w:p>
            <w:pPr>
              <w:spacing w:line="400" w:lineRule="exact"/>
              <w:jc w:val="center"/>
              <w:rPr>
                <w:rFonts w:hAnsi="仿宋_GB2312" w:cs="仿宋_GB2312"/>
                <w:sz w:val="24"/>
              </w:rPr>
            </w:pPr>
            <w:r>
              <w:rPr>
                <w:rFonts w:hint="eastAsia" w:hAnsi="仿宋_GB2312" w:cs="仿宋_GB2312"/>
                <w:sz w:val="24"/>
              </w:rPr>
              <w:t>（30分）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 xml:space="preserve">以经评审满足比选文件要求且投标价格最低的投标报价（折扣率最低）为评标基准价，其价格得分计30分。其他供应商的价格得分统一按公式计算： </w:t>
            </w:r>
            <w:r>
              <w:rPr>
                <w:rFonts w:hAnsi="仿宋_GB2312" w:cs="仿宋_GB2312"/>
                <w:sz w:val="24"/>
              </w:rPr>
              <w:t xml:space="preserve"> </w:t>
            </w:r>
            <w:r>
              <w:rPr>
                <w:rFonts w:hint="eastAsia" w:hAnsi="仿宋_GB2312" w:cs="仿宋_GB2312"/>
                <w:sz w:val="24"/>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Align w:val="center"/>
          </w:tcPr>
          <w:p>
            <w:pPr>
              <w:spacing w:line="400" w:lineRule="exact"/>
              <w:jc w:val="center"/>
              <w:rPr>
                <w:rFonts w:hAnsi="仿宋_GB2312" w:cs="仿宋_GB2312"/>
                <w:sz w:val="24"/>
              </w:rPr>
            </w:pPr>
            <w:r>
              <w:rPr>
                <w:rFonts w:hint="eastAsia" w:hAnsi="仿宋_GB2312" w:cs="仿宋_GB2312"/>
                <w:sz w:val="24"/>
              </w:rPr>
              <w:t>样品评价 1</w:t>
            </w:r>
            <w:r>
              <w:rPr>
                <w:rFonts w:hint="eastAsia" w:hAnsi="仿宋_GB2312" w:cs="仿宋_GB2312"/>
                <w:sz w:val="24"/>
                <w:szCs w:val="24"/>
              </w:rPr>
              <w:t>（</w:t>
            </w:r>
            <w:r>
              <w:rPr>
                <w:rFonts w:hint="eastAsia" w:ascii="宋体" w:hAnsi="宋体" w:cs="宋体"/>
                <w:color w:val="000000" w:themeColor="text1"/>
                <w:kern w:val="0"/>
                <w:sz w:val="24"/>
                <w:szCs w:val="24"/>
                <w14:textFill>
                  <w14:solidFill>
                    <w14:schemeClr w14:val="tx1"/>
                  </w14:solidFill>
                </w14:textFill>
              </w:rPr>
              <w:t>毛巾</w:t>
            </w:r>
            <w:r>
              <w:rPr>
                <w:rFonts w:hint="eastAsia" w:hAnsi="仿宋_GB2312" w:cs="仿宋_GB2312"/>
                <w:sz w:val="24"/>
                <w:szCs w:val="24"/>
              </w:rPr>
              <w:t>）</w:t>
            </w:r>
          </w:p>
          <w:p>
            <w:pPr>
              <w:pStyle w:val="2"/>
            </w:pPr>
            <w:r>
              <w:rPr>
                <w:rFonts w:hint="eastAsia" w:hAnsi="仿宋_GB2312" w:cs="仿宋_GB2312"/>
                <w:sz w:val="24"/>
              </w:rPr>
              <w:t>（10分）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1、所投“</w:t>
            </w:r>
            <w:r>
              <w:rPr>
                <w:rFonts w:hint="eastAsia" w:ascii="宋体" w:hAnsi="宋体" w:cs="宋体"/>
                <w:color w:val="000000" w:themeColor="text1"/>
                <w:kern w:val="0"/>
                <w:sz w:val="24"/>
                <w:szCs w:val="24"/>
                <w14:textFill>
                  <w14:solidFill>
                    <w14:schemeClr w14:val="tx1"/>
                  </w14:solidFill>
                </w14:textFill>
              </w:rPr>
              <w:t>毛巾</w:t>
            </w:r>
            <w:r>
              <w:rPr>
                <w:rFonts w:hint="eastAsia" w:hAnsi="仿宋_GB2312" w:cs="仿宋_GB2312"/>
                <w:sz w:val="24"/>
              </w:rPr>
              <w:t>”提供成品样品。</w:t>
            </w:r>
          </w:p>
          <w:p>
            <w:pPr>
              <w:spacing w:line="400" w:lineRule="exact"/>
              <w:jc w:val="left"/>
              <w:rPr>
                <w:rFonts w:hAnsi="仿宋_GB2312" w:cs="仿宋_GB2312"/>
                <w:sz w:val="24"/>
              </w:rPr>
            </w:pPr>
            <w:r>
              <w:rPr>
                <w:rFonts w:hint="eastAsia" w:hAnsi="仿宋_GB2312" w:cs="仿宋_GB2312"/>
                <w:sz w:val="24"/>
              </w:rPr>
              <w:t>评委会根据投标人提供的样品，从样品的外观、工艺、材质等各项因素进行综合评定：</w:t>
            </w:r>
          </w:p>
          <w:p>
            <w:pPr>
              <w:spacing w:line="400" w:lineRule="exact"/>
              <w:jc w:val="left"/>
              <w:rPr>
                <w:rFonts w:hAnsi="仿宋_GB2312" w:cs="仿宋_GB2312"/>
                <w:sz w:val="24"/>
              </w:rPr>
            </w:pPr>
            <w:r>
              <w:rPr>
                <w:rFonts w:hint="eastAsia" w:hAnsi="仿宋_GB2312" w:cs="仿宋_GB2312"/>
                <w:sz w:val="24"/>
              </w:rPr>
              <w:t>（1）样品外观精致无瑕疵、工艺制作好、细节处理得当、触感舒适的计10分；</w:t>
            </w:r>
          </w:p>
          <w:p>
            <w:pPr>
              <w:spacing w:line="400" w:lineRule="exact"/>
              <w:jc w:val="left"/>
              <w:rPr>
                <w:rFonts w:hAnsi="仿宋_GB2312" w:cs="仿宋_GB2312"/>
                <w:sz w:val="24"/>
              </w:rPr>
            </w:pPr>
            <w:r>
              <w:rPr>
                <w:rFonts w:hint="eastAsia" w:hAnsi="仿宋_GB2312" w:cs="仿宋_GB2312"/>
                <w:sz w:val="24"/>
              </w:rPr>
              <w:t>（2）样品外观略有瑕疵、工艺制作一般，细节处理一般，触感一般的计7分；</w:t>
            </w:r>
          </w:p>
          <w:p>
            <w:pPr>
              <w:spacing w:line="400" w:lineRule="exact"/>
              <w:jc w:val="left"/>
              <w:rPr>
                <w:rFonts w:hAnsi="仿宋_GB2312" w:cs="仿宋_GB2312"/>
                <w:sz w:val="24"/>
              </w:rPr>
            </w:pPr>
            <w:r>
              <w:rPr>
                <w:rFonts w:hint="eastAsia" w:hAnsi="仿宋_GB2312" w:cs="仿宋_GB2312"/>
                <w:sz w:val="24"/>
              </w:rPr>
              <w:t>（3）样品外观有明显瑕疵、工艺制作较差，细节处理不妥，触感差的计4分。</w:t>
            </w:r>
          </w:p>
          <w:p>
            <w:pPr>
              <w:spacing w:line="400" w:lineRule="exact"/>
              <w:jc w:val="left"/>
              <w:rPr>
                <w:rFonts w:hAnsi="仿宋_GB2312" w:cs="仿宋_GB2312"/>
                <w:sz w:val="24"/>
              </w:rPr>
            </w:pPr>
            <w:r>
              <w:rPr>
                <w:rFonts w:hint="eastAsia" w:hAnsi="仿宋_GB2312" w:cs="仿宋_GB2312"/>
                <w:sz w:val="24"/>
              </w:rPr>
              <w:t>（4）未提供样品或提供不全的计0分。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1" w:type="dxa"/>
            <w:vAlign w:val="center"/>
          </w:tcPr>
          <w:p>
            <w:pPr>
              <w:spacing w:line="400" w:lineRule="exact"/>
              <w:jc w:val="center"/>
              <w:rPr>
                <w:rFonts w:hAnsi="仿宋_GB2312" w:cs="仿宋_GB2312"/>
                <w:sz w:val="24"/>
              </w:rPr>
            </w:pPr>
            <w:r>
              <w:rPr>
                <w:rFonts w:hint="eastAsia" w:hAnsi="仿宋_GB2312" w:cs="仿宋_GB2312"/>
                <w:sz w:val="24"/>
              </w:rPr>
              <w:t>样品评价 2</w:t>
            </w:r>
            <w:r>
              <w:rPr>
                <w:rFonts w:hint="eastAsia" w:hAnsi="仿宋_GB2312" w:cs="仿宋_GB2312"/>
                <w:sz w:val="24"/>
                <w:szCs w:val="24"/>
              </w:rPr>
              <w:t>（</w:t>
            </w:r>
            <w:r>
              <w:rPr>
                <w:rFonts w:hint="eastAsia" w:ascii="宋体" w:hAnsi="宋体" w:cs="宋体"/>
                <w:color w:val="000000" w:themeColor="text1"/>
                <w:kern w:val="0"/>
                <w:sz w:val="24"/>
                <w:szCs w:val="24"/>
                <w14:textFill>
                  <w14:solidFill>
                    <w14:schemeClr w14:val="tx1"/>
                  </w14:solidFill>
                </w14:textFill>
              </w:rPr>
              <w:t>抽纸</w:t>
            </w:r>
            <w:r>
              <w:rPr>
                <w:rFonts w:hint="eastAsia" w:hAnsi="仿宋_GB2312" w:cs="仿宋_GB2312"/>
                <w:sz w:val="24"/>
                <w:szCs w:val="24"/>
              </w:rPr>
              <w:t>）</w:t>
            </w:r>
          </w:p>
          <w:p>
            <w:pPr>
              <w:pStyle w:val="2"/>
            </w:pPr>
            <w:r>
              <w:rPr>
                <w:rFonts w:hint="eastAsia" w:hAnsi="仿宋_GB2312" w:cs="仿宋_GB2312"/>
                <w:sz w:val="24"/>
              </w:rPr>
              <w:t>（10分）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2、所投</w:t>
            </w:r>
            <w:r>
              <w:rPr>
                <w:rFonts w:hint="eastAsia" w:hAnsi="仿宋_GB2312" w:cs="仿宋_GB2312"/>
                <w:sz w:val="24"/>
                <w:szCs w:val="24"/>
              </w:rPr>
              <w:t>“</w:t>
            </w:r>
            <w:r>
              <w:rPr>
                <w:rFonts w:hint="eastAsia" w:ascii="宋体" w:hAnsi="宋体" w:cs="宋体"/>
                <w:color w:val="000000" w:themeColor="text1"/>
                <w:kern w:val="0"/>
                <w:sz w:val="24"/>
                <w:szCs w:val="24"/>
                <w14:textFill>
                  <w14:solidFill>
                    <w14:schemeClr w14:val="tx1"/>
                  </w14:solidFill>
                </w14:textFill>
              </w:rPr>
              <w:t>抽纸</w:t>
            </w:r>
            <w:r>
              <w:rPr>
                <w:rFonts w:hint="eastAsia" w:hAnsi="仿宋_GB2312" w:cs="仿宋_GB2312"/>
                <w:sz w:val="24"/>
                <w:szCs w:val="24"/>
              </w:rPr>
              <w:t>”</w:t>
            </w:r>
            <w:r>
              <w:rPr>
                <w:rFonts w:hint="eastAsia" w:hAnsi="仿宋_GB2312" w:cs="仿宋_GB2312"/>
                <w:sz w:val="24"/>
              </w:rPr>
              <w:t>提供成品样品。</w:t>
            </w:r>
          </w:p>
          <w:p>
            <w:pPr>
              <w:spacing w:line="400" w:lineRule="exact"/>
              <w:jc w:val="left"/>
              <w:rPr>
                <w:rFonts w:hAnsi="仿宋_GB2312" w:cs="仿宋_GB2312"/>
                <w:sz w:val="24"/>
              </w:rPr>
            </w:pPr>
            <w:r>
              <w:rPr>
                <w:rFonts w:hint="eastAsia" w:hAnsi="仿宋_GB2312" w:cs="仿宋_GB2312"/>
                <w:sz w:val="24"/>
              </w:rPr>
              <w:t>评委会根据投标人提供的样品，从样品的外观、工艺、材质等各项因素进行综合评定：</w:t>
            </w:r>
          </w:p>
          <w:p>
            <w:pPr>
              <w:spacing w:line="400" w:lineRule="exact"/>
              <w:jc w:val="left"/>
              <w:rPr>
                <w:rFonts w:hAnsi="仿宋_GB2312" w:cs="仿宋_GB2312"/>
                <w:sz w:val="24"/>
              </w:rPr>
            </w:pPr>
            <w:r>
              <w:rPr>
                <w:rFonts w:hint="eastAsia" w:hAnsi="仿宋_GB2312" w:cs="仿宋_GB2312"/>
                <w:sz w:val="24"/>
              </w:rPr>
              <w:t>（1）样品外观精致无瑕疵、工艺制作好、细节处理得当、触感优质的计10分；</w:t>
            </w:r>
          </w:p>
          <w:p>
            <w:pPr>
              <w:spacing w:line="400" w:lineRule="exact"/>
              <w:jc w:val="left"/>
              <w:rPr>
                <w:rFonts w:hAnsi="仿宋_GB2312" w:cs="仿宋_GB2312"/>
                <w:sz w:val="24"/>
              </w:rPr>
            </w:pPr>
            <w:r>
              <w:rPr>
                <w:rFonts w:hint="eastAsia" w:hAnsi="仿宋_GB2312" w:cs="仿宋_GB2312"/>
                <w:sz w:val="24"/>
              </w:rPr>
              <w:t>（2）样品外观略有瑕疵、工艺制作一般，细节处理一般，触感一般的计7分；</w:t>
            </w:r>
          </w:p>
          <w:p>
            <w:pPr>
              <w:spacing w:line="400" w:lineRule="exact"/>
              <w:jc w:val="left"/>
              <w:rPr>
                <w:rFonts w:hAnsi="仿宋_GB2312" w:cs="仿宋_GB2312"/>
                <w:sz w:val="24"/>
              </w:rPr>
            </w:pPr>
            <w:r>
              <w:rPr>
                <w:rFonts w:hint="eastAsia" w:hAnsi="仿宋_GB2312" w:cs="仿宋_GB2312"/>
                <w:sz w:val="24"/>
              </w:rPr>
              <w:t>（3）样品外观有明显瑕疵、工艺制作较差，细节处理不妥，触感差的计4分。</w:t>
            </w:r>
          </w:p>
          <w:p>
            <w:pPr>
              <w:spacing w:line="400" w:lineRule="exact"/>
              <w:jc w:val="left"/>
              <w:rPr>
                <w:rFonts w:hAnsi="仿宋_GB2312" w:cs="仿宋_GB2312"/>
                <w:sz w:val="24"/>
              </w:rPr>
            </w:pPr>
            <w:r>
              <w:rPr>
                <w:rFonts w:hint="eastAsia" w:hAnsi="仿宋_GB2312" w:cs="仿宋_GB2312"/>
                <w:sz w:val="24"/>
              </w:rPr>
              <w:t>（4）未提供样品或提供不全的计0分。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691" w:type="dxa"/>
            <w:vAlign w:val="center"/>
          </w:tcPr>
          <w:p>
            <w:pPr>
              <w:spacing w:line="400" w:lineRule="exact"/>
              <w:jc w:val="center"/>
              <w:rPr>
                <w:rFonts w:hAnsi="仿宋_GB2312" w:cs="仿宋_GB2312"/>
                <w:sz w:val="24"/>
              </w:rPr>
            </w:pPr>
            <w:r>
              <w:rPr>
                <w:rFonts w:hint="eastAsia" w:hAnsi="仿宋_GB2312" w:cs="仿宋_GB2312"/>
                <w:sz w:val="24"/>
              </w:rPr>
              <w:t>配送服务方案（20分）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根据投标人提供的配送服务方案(包括但不限于配送服务流程、配送便利性、配送人员安排、配送车辆安排等)进行综合评审:</w:t>
            </w:r>
          </w:p>
          <w:p>
            <w:pPr>
              <w:spacing w:line="400" w:lineRule="exact"/>
              <w:jc w:val="left"/>
              <w:rPr>
                <w:rFonts w:hAnsi="仿宋_GB2312" w:cs="仿宋_GB2312"/>
                <w:sz w:val="24"/>
              </w:rPr>
            </w:pPr>
            <w:r>
              <w:rPr>
                <w:rFonts w:hint="eastAsia" w:hAnsi="仿宋_GB2312" w:cs="仿宋_GB2312"/>
                <w:sz w:val="24"/>
              </w:rPr>
              <w:t>1.</w:t>
            </w:r>
            <w:r>
              <w:rPr>
                <w:rFonts w:hint="eastAsia" w:hAnsi="仿宋_GB2312" w:cs="仿宋_GB2312"/>
                <w:sz w:val="24"/>
              </w:rPr>
              <w:tab/>
            </w:r>
            <w:r>
              <w:rPr>
                <w:rFonts w:hint="eastAsia" w:hAnsi="仿宋_GB2312" w:cs="仿宋_GB2312"/>
                <w:sz w:val="24"/>
              </w:rPr>
              <w:t>配送服务方案，全面细致、内容完整、科学合理、针对性强，完全满足且优于用户需求，计 20分；</w:t>
            </w:r>
          </w:p>
          <w:p>
            <w:pPr>
              <w:spacing w:line="400" w:lineRule="exact"/>
              <w:jc w:val="left"/>
              <w:rPr>
                <w:rFonts w:hAnsi="仿宋_GB2312" w:cs="仿宋_GB2312"/>
                <w:sz w:val="24"/>
              </w:rPr>
            </w:pPr>
            <w:r>
              <w:rPr>
                <w:rFonts w:hint="eastAsia" w:hAnsi="仿宋_GB2312" w:cs="仿宋_GB2312"/>
                <w:sz w:val="24"/>
              </w:rPr>
              <w:t>2.配送服务方案，较为详细具体，内容较完整、较科学合理、针对性较强，满足用户需求，计 15分；</w:t>
            </w:r>
          </w:p>
          <w:p>
            <w:pPr>
              <w:spacing w:line="400" w:lineRule="exact"/>
              <w:jc w:val="left"/>
              <w:rPr>
                <w:rFonts w:hAnsi="仿宋_GB2312" w:cs="仿宋_GB2312"/>
                <w:sz w:val="24"/>
              </w:rPr>
            </w:pPr>
            <w:r>
              <w:rPr>
                <w:rFonts w:hint="eastAsia" w:hAnsi="仿宋_GB2312" w:cs="仿宋_GB2312"/>
                <w:sz w:val="24"/>
              </w:rPr>
              <w:t>3.配送服务方案，简单、欠完善，针对性一般的,不能完全满足 用户需求，计10分；</w:t>
            </w:r>
          </w:p>
          <w:p>
            <w:pPr>
              <w:spacing w:line="400" w:lineRule="exact"/>
              <w:jc w:val="left"/>
              <w:rPr>
                <w:rFonts w:hAnsi="仿宋_GB2312" w:cs="仿宋_GB2312"/>
                <w:sz w:val="24"/>
              </w:rPr>
            </w:pPr>
            <w:r>
              <w:rPr>
                <w:rFonts w:hint="eastAsia" w:hAnsi="仿宋_GB2312" w:cs="仿宋_GB2312"/>
                <w:sz w:val="24"/>
              </w:rPr>
              <w:t>4.此项未提供或不合理的计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691" w:type="dxa"/>
            <w:vAlign w:val="center"/>
          </w:tcPr>
          <w:p>
            <w:pPr>
              <w:spacing w:line="400" w:lineRule="exact"/>
              <w:jc w:val="center"/>
              <w:rPr>
                <w:rFonts w:hAnsi="仿宋_GB2312" w:cs="仿宋_GB2312"/>
                <w:sz w:val="24"/>
              </w:rPr>
            </w:pPr>
            <w:r>
              <w:rPr>
                <w:rFonts w:hint="eastAsia" w:hAnsi="仿宋_GB2312" w:cs="仿宋_GB2312"/>
                <w:sz w:val="24"/>
              </w:rPr>
              <w:t>售后服务保障（9分）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根据投标人针对本项目提出的项目售后服务方案，内容包含但不限于：服务机构设置、服务响应时间、售后服务团队配置、服务流程、免费质保期等进行综合评审：</w:t>
            </w:r>
          </w:p>
          <w:p>
            <w:pPr>
              <w:spacing w:line="400" w:lineRule="exact"/>
              <w:jc w:val="left"/>
              <w:rPr>
                <w:rFonts w:hAnsi="仿宋_GB2312" w:cs="仿宋_GB2312"/>
                <w:sz w:val="24"/>
              </w:rPr>
            </w:pPr>
            <w:r>
              <w:rPr>
                <w:rFonts w:hint="eastAsia" w:hAnsi="仿宋_GB2312" w:cs="仿宋_GB2312"/>
                <w:sz w:val="24"/>
              </w:rPr>
              <w:t>1.售后保障措施完善、服务机构设置便利、服务响应时间及时高效、售后服务团队配置合理、服务流程规范、合理。计 9 分；</w:t>
            </w:r>
          </w:p>
          <w:p>
            <w:pPr>
              <w:spacing w:line="400" w:lineRule="exact"/>
              <w:jc w:val="left"/>
              <w:rPr>
                <w:rFonts w:hAnsi="仿宋_GB2312" w:cs="仿宋_GB2312"/>
                <w:sz w:val="24"/>
              </w:rPr>
            </w:pPr>
            <w:r>
              <w:rPr>
                <w:rFonts w:hint="eastAsia" w:hAnsi="仿宋_GB2312" w:cs="仿宋_GB2312"/>
                <w:sz w:val="24"/>
              </w:rPr>
              <w:t>2.售后保障措施较完善、服务机构设置较 便利、服务响应时间较及时、售后服务团队配置较合理、服务流程专业迅速较合理、规范的，计 6 分；</w:t>
            </w:r>
          </w:p>
          <w:p>
            <w:pPr>
              <w:spacing w:line="400" w:lineRule="exact"/>
              <w:jc w:val="left"/>
              <w:rPr>
                <w:rFonts w:hAnsi="仿宋_GB2312" w:cs="仿宋_GB2312"/>
                <w:sz w:val="24"/>
              </w:rPr>
            </w:pPr>
            <w:r>
              <w:rPr>
                <w:rFonts w:hint="eastAsia" w:hAnsi="仿宋_GB2312" w:cs="仿宋_GB2312"/>
                <w:sz w:val="24"/>
              </w:rPr>
              <w:t>3.售后保障措施一般、服务机构设置欠便利、服务响应时间慢、售后服务团队配置一 般、服务流程欠合理、规范的，计 3 分；</w:t>
            </w:r>
          </w:p>
          <w:p>
            <w:pPr>
              <w:spacing w:line="400" w:lineRule="exact"/>
              <w:jc w:val="left"/>
              <w:rPr>
                <w:rFonts w:hAnsi="仿宋_GB2312" w:cs="仿宋_GB2312"/>
                <w:sz w:val="24"/>
              </w:rPr>
            </w:pPr>
            <w:r>
              <w:rPr>
                <w:rFonts w:hint="eastAsia" w:hAnsi="仿宋_GB2312" w:cs="仿宋_GB2312"/>
                <w:sz w:val="24"/>
              </w:rPr>
              <w:t>4.此项未提供或不合理的计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1691" w:type="dxa"/>
            <w:vAlign w:val="center"/>
          </w:tcPr>
          <w:p>
            <w:pPr>
              <w:spacing w:line="400" w:lineRule="exact"/>
              <w:jc w:val="center"/>
              <w:rPr>
                <w:rFonts w:hint="eastAsia" w:hAnsi="仿宋_GB2312" w:cs="仿宋_GB2312"/>
                <w:sz w:val="24"/>
              </w:rPr>
            </w:pPr>
            <w:r>
              <w:rPr>
                <w:rFonts w:hint="eastAsia" w:hAnsi="仿宋_GB2312" w:cs="仿宋_GB2312"/>
                <w:sz w:val="24"/>
              </w:rPr>
              <w:t>退换货方案</w:t>
            </w:r>
          </w:p>
          <w:p>
            <w:pPr>
              <w:spacing w:line="400" w:lineRule="exact"/>
              <w:jc w:val="center"/>
              <w:rPr>
                <w:rFonts w:hAnsi="仿宋_GB2312" w:cs="仿宋_GB2312"/>
                <w:sz w:val="24"/>
              </w:rPr>
            </w:pPr>
            <w:r>
              <w:rPr>
                <w:rFonts w:hint="eastAsia" w:hAnsi="仿宋_GB2312" w:cs="仿宋_GB2312"/>
                <w:sz w:val="24"/>
              </w:rPr>
              <w:t>（5分）</w:t>
            </w:r>
          </w:p>
        </w:tc>
        <w:tc>
          <w:tcPr>
            <w:tcW w:w="8503" w:type="dxa"/>
            <w:vAlign w:val="center"/>
          </w:tcPr>
          <w:p>
            <w:pPr>
              <w:spacing w:line="400" w:lineRule="exact"/>
              <w:jc w:val="left"/>
              <w:rPr>
                <w:rFonts w:hAnsi="仿宋_GB2312" w:cs="仿宋_GB2312"/>
                <w:sz w:val="24"/>
              </w:rPr>
            </w:pPr>
            <w:r>
              <w:rPr>
                <w:rFonts w:hint="eastAsia" w:hAnsi="仿宋_GB2312" w:cs="仿宋_GB2312"/>
                <w:sz w:val="24"/>
              </w:rPr>
              <w:t>根据供应商提供的出现产品质量问题退换货方案（包含：退换流程或紧急需求）及措施，方案内容完整，有很强的可行性，退换流程简洁有效、能在1小时内送达的的计5分；方案内容较完整，有较强的可行性，退换流程较简洁、在2小时内送达的计3分；方案内容有欠缺，可行性一般，退换流程复杂、在3小时内送达的的计1分；未提供的不计分。</w:t>
            </w:r>
          </w:p>
          <w:p>
            <w:pPr>
              <w:spacing w:line="400" w:lineRule="exact"/>
              <w:jc w:val="left"/>
              <w:rPr>
                <w:rFonts w:hAnsi="仿宋_GB2312" w:cs="仿宋_GB2312"/>
                <w:sz w:val="24"/>
              </w:rPr>
            </w:pPr>
            <w:r>
              <w:rPr>
                <w:rFonts w:hint="eastAsia" w:hAnsi="仿宋_GB2312" w:cs="仿宋_GB2312"/>
                <w:sz w:val="24"/>
              </w:rPr>
              <w:t>注：（提供从供应商到采购人指定配送地点导航截图及承诺书原件扫描件，并加盖供应商公章，否则不计分。）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691" w:type="dxa"/>
            <w:vAlign w:val="center"/>
          </w:tcPr>
          <w:p>
            <w:pPr>
              <w:spacing w:line="400" w:lineRule="exact"/>
              <w:jc w:val="center"/>
              <w:rPr>
                <w:rFonts w:hAnsi="仿宋_GB2312" w:cs="仿宋_GB2312"/>
                <w:sz w:val="24"/>
              </w:rPr>
            </w:pPr>
            <w:r>
              <w:rPr>
                <w:rFonts w:hint="eastAsia" w:hAnsi="仿宋_GB2312" w:cs="仿宋_GB2312"/>
                <w:sz w:val="24"/>
              </w:rPr>
              <w:t>类似业绩（16）</w:t>
            </w:r>
          </w:p>
        </w:tc>
        <w:tc>
          <w:tcPr>
            <w:tcW w:w="8503" w:type="dxa"/>
            <w:vAlign w:val="center"/>
          </w:tcPr>
          <w:p>
            <w:pPr>
              <w:spacing w:line="400" w:lineRule="exact"/>
              <w:jc w:val="left"/>
              <w:rPr>
                <w:rFonts w:hAnsi="仿宋_GB2312" w:cs="仿宋_GB2312"/>
                <w:sz w:val="24"/>
              </w:rPr>
            </w:pPr>
            <w:r>
              <w:rPr>
                <w:rFonts w:hint="eastAsia" w:hAnsi="仿宋_GB2312" w:cs="仿宋_GB2312"/>
                <w:sz w:val="24"/>
              </w:rPr>
              <w:t>根据各投标人近三年来（2021年5月至投标截止时间）承接过的类似项目进行评价，每提供一个类似项目业绩的计4分，本项最多计16分。</w:t>
            </w:r>
          </w:p>
          <w:p>
            <w:pPr>
              <w:spacing w:line="400" w:lineRule="exact"/>
              <w:jc w:val="left"/>
              <w:rPr>
                <w:rFonts w:hAnsi="仿宋_GB2312" w:cs="仿宋_GB2312"/>
                <w:sz w:val="24"/>
              </w:rPr>
            </w:pPr>
            <w:r>
              <w:rPr>
                <w:rFonts w:hint="eastAsia" w:hAnsi="仿宋_GB2312" w:cs="仿宋_GB2312"/>
                <w:sz w:val="24"/>
              </w:rPr>
              <w:t>注：需提供类似业绩项目合同复印件并加盖公章，否则不计分。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691" w:type="dxa"/>
            <w:vAlign w:val="center"/>
          </w:tcPr>
          <w:p>
            <w:pPr>
              <w:spacing w:line="400" w:lineRule="exact"/>
              <w:jc w:val="center"/>
              <w:rPr>
                <w:rFonts w:hAnsi="仿宋_GB2312" w:cs="仿宋_GB2312"/>
                <w:sz w:val="24"/>
              </w:rPr>
            </w:pPr>
            <w:r>
              <w:rPr>
                <w:rFonts w:hint="eastAsia" w:hAnsi="仿宋_GB2312" w:cs="仿宋_GB2312"/>
                <w:sz w:val="24"/>
              </w:rPr>
              <w:t>总分</w:t>
            </w:r>
          </w:p>
        </w:tc>
        <w:tc>
          <w:tcPr>
            <w:tcW w:w="8503" w:type="dxa"/>
            <w:vAlign w:val="center"/>
          </w:tcPr>
          <w:p>
            <w:pPr>
              <w:spacing w:line="400" w:lineRule="exact"/>
              <w:jc w:val="center"/>
              <w:rPr>
                <w:rFonts w:hAnsi="仿宋_GB2312" w:cs="仿宋_GB2312"/>
                <w:sz w:val="24"/>
              </w:rPr>
            </w:pPr>
            <w:r>
              <w:rPr>
                <w:rFonts w:hint="eastAsia" w:hAnsi="仿宋_GB2312" w:cs="仿宋_GB2312"/>
                <w:sz w:val="24"/>
              </w:rPr>
              <w:t>100分</w:t>
            </w:r>
          </w:p>
        </w:tc>
      </w:tr>
    </w:tbl>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sectPr>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7D05D"/>
    <w:multiLevelType w:val="singleLevel"/>
    <w:tmpl w:val="C497D05D"/>
    <w:lvl w:ilvl="0" w:tentative="0">
      <w:start w:val="1"/>
      <w:numFmt w:val="chineseCounting"/>
      <w:suff w:val="nothing"/>
      <w:lvlText w:val="（%1）"/>
      <w:lvlJc w:val="left"/>
      <w:rPr>
        <w:rFonts w:hint="eastAsia"/>
      </w:rPr>
    </w:lvl>
  </w:abstractNum>
  <w:abstractNum w:abstractNumId="1">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786DF8C2"/>
    <w:multiLevelType w:val="singleLevel"/>
    <w:tmpl w:val="786DF8C2"/>
    <w:lvl w:ilvl="0" w:tentative="0">
      <w:start w:val="8"/>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33FB9"/>
    <w:rsid w:val="0004220C"/>
    <w:rsid w:val="000916EA"/>
    <w:rsid w:val="000B4AC9"/>
    <w:rsid w:val="000C0006"/>
    <w:rsid w:val="000C2AAD"/>
    <w:rsid w:val="000C4FCD"/>
    <w:rsid w:val="000C7B07"/>
    <w:rsid w:val="000D17C4"/>
    <w:rsid w:val="000D2C1F"/>
    <w:rsid w:val="000E208E"/>
    <w:rsid w:val="000E22D8"/>
    <w:rsid w:val="000E2FCA"/>
    <w:rsid w:val="000E3EB7"/>
    <w:rsid w:val="000E6B0E"/>
    <w:rsid w:val="000F59A8"/>
    <w:rsid w:val="000F6B06"/>
    <w:rsid w:val="00103E0F"/>
    <w:rsid w:val="001041D4"/>
    <w:rsid w:val="001056D9"/>
    <w:rsid w:val="001111B1"/>
    <w:rsid w:val="001112DE"/>
    <w:rsid w:val="00112F2C"/>
    <w:rsid w:val="00113DE3"/>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26141"/>
    <w:rsid w:val="0023261F"/>
    <w:rsid w:val="00265E3A"/>
    <w:rsid w:val="00266420"/>
    <w:rsid w:val="002802E5"/>
    <w:rsid w:val="00282FA9"/>
    <w:rsid w:val="002837F0"/>
    <w:rsid w:val="00285835"/>
    <w:rsid w:val="00291B18"/>
    <w:rsid w:val="002A4AE2"/>
    <w:rsid w:val="002B187F"/>
    <w:rsid w:val="002B2B07"/>
    <w:rsid w:val="002C024E"/>
    <w:rsid w:val="002C2671"/>
    <w:rsid w:val="002E247B"/>
    <w:rsid w:val="002F6DB9"/>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070A8"/>
    <w:rsid w:val="00414168"/>
    <w:rsid w:val="004225D5"/>
    <w:rsid w:val="004244CC"/>
    <w:rsid w:val="00434A15"/>
    <w:rsid w:val="00444647"/>
    <w:rsid w:val="004470A7"/>
    <w:rsid w:val="004473FA"/>
    <w:rsid w:val="00452D2A"/>
    <w:rsid w:val="00460139"/>
    <w:rsid w:val="004628AB"/>
    <w:rsid w:val="00463B93"/>
    <w:rsid w:val="004719E3"/>
    <w:rsid w:val="00474429"/>
    <w:rsid w:val="004841A8"/>
    <w:rsid w:val="004928AE"/>
    <w:rsid w:val="00494B92"/>
    <w:rsid w:val="004A0F69"/>
    <w:rsid w:val="004A2598"/>
    <w:rsid w:val="004A47B4"/>
    <w:rsid w:val="004A4A1C"/>
    <w:rsid w:val="004B69EE"/>
    <w:rsid w:val="004C21D9"/>
    <w:rsid w:val="004C683A"/>
    <w:rsid w:val="004D1E1D"/>
    <w:rsid w:val="004D35B2"/>
    <w:rsid w:val="004D683E"/>
    <w:rsid w:val="004E1784"/>
    <w:rsid w:val="004E1F26"/>
    <w:rsid w:val="004E7358"/>
    <w:rsid w:val="004F3BA6"/>
    <w:rsid w:val="00500610"/>
    <w:rsid w:val="0050263D"/>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07C"/>
    <w:rsid w:val="00616524"/>
    <w:rsid w:val="00630078"/>
    <w:rsid w:val="00630D30"/>
    <w:rsid w:val="00632ED3"/>
    <w:rsid w:val="00634053"/>
    <w:rsid w:val="00636D2E"/>
    <w:rsid w:val="006377EA"/>
    <w:rsid w:val="0065340C"/>
    <w:rsid w:val="00655E0C"/>
    <w:rsid w:val="0067546C"/>
    <w:rsid w:val="0068371B"/>
    <w:rsid w:val="006A056B"/>
    <w:rsid w:val="006A7A41"/>
    <w:rsid w:val="006B274D"/>
    <w:rsid w:val="006B5265"/>
    <w:rsid w:val="006C0664"/>
    <w:rsid w:val="006E407C"/>
    <w:rsid w:val="006F43C4"/>
    <w:rsid w:val="00700865"/>
    <w:rsid w:val="00706CE7"/>
    <w:rsid w:val="00711BA2"/>
    <w:rsid w:val="00712128"/>
    <w:rsid w:val="00712F84"/>
    <w:rsid w:val="007154F1"/>
    <w:rsid w:val="00722BBF"/>
    <w:rsid w:val="007304AD"/>
    <w:rsid w:val="00731F69"/>
    <w:rsid w:val="00743CAF"/>
    <w:rsid w:val="00750DC3"/>
    <w:rsid w:val="0077399D"/>
    <w:rsid w:val="00773AC8"/>
    <w:rsid w:val="00785A55"/>
    <w:rsid w:val="007A6C65"/>
    <w:rsid w:val="007B01B3"/>
    <w:rsid w:val="007B05D1"/>
    <w:rsid w:val="007C7C41"/>
    <w:rsid w:val="007D2559"/>
    <w:rsid w:val="007D4892"/>
    <w:rsid w:val="007D6D66"/>
    <w:rsid w:val="007D6E0E"/>
    <w:rsid w:val="007D7D22"/>
    <w:rsid w:val="007E0833"/>
    <w:rsid w:val="00801062"/>
    <w:rsid w:val="0080583D"/>
    <w:rsid w:val="00810469"/>
    <w:rsid w:val="00811109"/>
    <w:rsid w:val="00813A79"/>
    <w:rsid w:val="00825689"/>
    <w:rsid w:val="00826C2A"/>
    <w:rsid w:val="008462E7"/>
    <w:rsid w:val="00853DB7"/>
    <w:rsid w:val="008655EF"/>
    <w:rsid w:val="00870587"/>
    <w:rsid w:val="00874BFD"/>
    <w:rsid w:val="00877D26"/>
    <w:rsid w:val="00885372"/>
    <w:rsid w:val="00885BB1"/>
    <w:rsid w:val="008A10B6"/>
    <w:rsid w:val="008A5D13"/>
    <w:rsid w:val="008B48B2"/>
    <w:rsid w:val="008E54DB"/>
    <w:rsid w:val="008E66EB"/>
    <w:rsid w:val="00903C20"/>
    <w:rsid w:val="00906CC5"/>
    <w:rsid w:val="00921051"/>
    <w:rsid w:val="00926B06"/>
    <w:rsid w:val="00927127"/>
    <w:rsid w:val="009368D3"/>
    <w:rsid w:val="00937D1C"/>
    <w:rsid w:val="00951FAE"/>
    <w:rsid w:val="00961C65"/>
    <w:rsid w:val="00965F15"/>
    <w:rsid w:val="009754C8"/>
    <w:rsid w:val="00986D1F"/>
    <w:rsid w:val="00990BF4"/>
    <w:rsid w:val="009A1D1C"/>
    <w:rsid w:val="009B35B4"/>
    <w:rsid w:val="009B5FB6"/>
    <w:rsid w:val="009F136A"/>
    <w:rsid w:val="009F30ED"/>
    <w:rsid w:val="00A12750"/>
    <w:rsid w:val="00A16F7A"/>
    <w:rsid w:val="00A20E43"/>
    <w:rsid w:val="00A23BA5"/>
    <w:rsid w:val="00A35BB7"/>
    <w:rsid w:val="00A37FF5"/>
    <w:rsid w:val="00A42360"/>
    <w:rsid w:val="00A5392D"/>
    <w:rsid w:val="00A53A34"/>
    <w:rsid w:val="00A566D5"/>
    <w:rsid w:val="00A74CD8"/>
    <w:rsid w:val="00A77A98"/>
    <w:rsid w:val="00A81F44"/>
    <w:rsid w:val="00A91450"/>
    <w:rsid w:val="00A95092"/>
    <w:rsid w:val="00AA145B"/>
    <w:rsid w:val="00AB4256"/>
    <w:rsid w:val="00AC45ED"/>
    <w:rsid w:val="00AC51EC"/>
    <w:rsid w:val="00AD6534"/>
    <w:rsid w:val="00B0175F"/>
    <w:rsid w:val="00B22937"/>
    <w:rsid w:val="00B3412E"/>
    <w:rsid w:val="00B3429B"/>
    <w:rsid w:val="00B35BE1"/>
    <w:rsid w:val="00B37B00"/>
    <w:rsid w:val="00B52059"/>
    <w:rsid w:val="00B56A7F"/>
    <w:rsid w:val="00B60011"/>
    <w:rsid w:val="00B612D0"/>
    <w:rsid w:val="00B66748"/>
    <w:rsid w:val="00B7493C"/>
    <w:rsid w:val="00B771AB"/>
    <w:rsid w:val="00B81ED0"/>
    <w:rsid w:val="00B87532"/>
    <w:rsid w:val="00B931B4"/>
    <w:rsid w:val="00BA2B80"/>
    <w:rsid w:val="00BB0BBD"/>
    <w:rsid w:val="00BC6CD8"/>
    <w:rsid w:val="00BD0325"/>
    <w:rsid w:val="00BD487B"/>
    <w:rsid w:val="00BE0D00"/>
    <w:rsid w:val="00BE125F"/>
    <w:rsid w:val="00BF5E60"/>
    <w:rsid w:val="00C10E71"/>
    <w:rsid w:val="00C30043"/>
    <w:rsid w:val="00C56430"/>
    <w:rsid w:val="00C73F58"/>
    <w:rsid w:val="00CA2BEB"/>
    <w:rsid w:val="00CB7695"/>
    <w:rsid w:val="00CC512E"/>
    <w:rsid w:val="00CC68B0"/>
    <w:rsid w:val="00CD6C9C"/>
    <w:rsid w:val="00CF1803"/>
    <w:rsid w:val="00D069B4"/>
    <w:rsid w:val="00D159D5"/>
    <w:rsid w:val="00D1625A"/>
    <w:rsid w:val="00D379A2"/>
    <w:rsid w:val="00D42DED"/>
    <w:rsid w:val="00D42FD9"/>
    <w:rsid w:val="00D70A69"/>
    <w:rsid w:val="00D75527"/>
    <w:rsid w:val="00D80103"/>
    <w:rsid w:val="00D85CA0"/>
    <w:rsid w:val="00D8790E"/>
    <w:rsid w:val="00D93253"/>
    <w:rsid w:val="00D9421F"/>
    <w:rsid w:val="00DA061F"/>
    <w:rsid w:val="00DA340E"/>
    <w:rsid w:val="00DA67B2"/>
    <w:rsid w:val="00DB2CAE"/>
    <w:rsid w:val="00DB5AB0"/>
    <w:rsid w:val="00DD1775"/>
    <w:rsid w:val="00DF2E12"/>
    <w:rsid w:val="00E15F7C"/>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5622E"/>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6C9325F"/>
    <w:rsid w:val="08510CCB"/>
    <w:rsid w:val="093926A6"/>
    <w:rsid w:val="0C446C4A"/>
    <w:rsid w:val="0D1531E8"/>
    <w:rsid w:val="0D3317AF"/>
    <w:rsid w:val="111451B1"/>
    <w:rsid w:val="11AA79EB"/>
    <w:rsid w:val="12476873"/>
    <w:rsid w:val="145F6D78"/>
    <w:rsid w:val="14ED3D4F"/>
    <w:rsid w:val="15DD1DF8"/>
    <w:rsid w:val="180E78A8"/>
    <w:rsid w:val="18335C10"/>
    <w:rsid w:val="19996254"/>
    <w:rsid w:val="1B943177"/>
    <w:rsid w:val="1C0E2CEB"/>
    <w:rsid w:val="1C6019B5"/>
    <w:rsid w:val="1CB15175"/>
    <w:rsid w:val="1D4871EB"/>
    <w:rsid w:val="1DED3012"/>
    <w:rsid w:val="1E6A6074"/>
    <w:rsid w:val="1EDF6E66"/>
    <w:rsid w:val="21482DD7"/>
    <w:rsid w:val="215D592A"/>
    <w:rsid w:val="24AC4A25"/>
    <w:rsid w:val="25F24E87"/>
    <w:rsid w:val="26A54C67"/>
    <w:rsid w:val="28C40C32"/>
    <w:rsid w:val="2A166BC1"/>
    <w:rsid w:val="2D6F69C0"/>
    <w:rsid w:val="31157E8A"/>
    <w:rsid w:val="31647D66"/>
    <w:rsid w:val="3291131A"/>
    <w:rsid w:val="358A2DE4"/>
    <w:rsid w:val="36993C98"/>
    <w:rsid w:val="36A42976"/>
    <w:rsid w:val="371A4C8C"/>
    <w:rsid w:val="3744399B"/>
    <w:rsid w:val="38136454"/>
    <w:rsid w:val="3B0F6ACC"/>
    <w:rsid w:val="3BEE6177"/>
    <w:rsid w:val="3C67442C"/>
    <w:rsid w:val="3D422619"/>
    <w:rsid w:val="3EEF109D"/>
    <w:rsid w:val="40E43974"/>
    <w:rsid w:val="40E616BA"/>
    <w:rsid w:val="4349552E"/>
    <w:rsid w:val="4390748B"/>
    <w:rsid w:val="45EE264F"/>
    <w:rsid w:val="474E6F58"/>
    <w:rsid w:val="479E6FA7"/>
    <w:rsid w:val="47EE40E5"/>
    <w:rsid w:val="47F87C39"/>
    <w:rsid w:val="49CA0BFE"/>
    <w:rsid w:val="49FF0303"/>
    <w:rsid w:val="4B386DCB"/>
    <w:rsid w:val="4DB125A4"/>
    <w:rsid w:val="507A645F"/>
    <w:rsid w:val="50C55DBA"/>
    <w:rsid w:val="51696CA3"/>
    <w:rsid w:val="53A33245"/>
    <w:rsid w:val="53B31AE1"/>
    <w:rsid w:val="53B33245"/>
    <w:rsid w:val="53D52E7C"/>
    <w:rsid w:val="54F16ABB"/>
    <w:rsid w:val="55603AEE"/>
    <w:rsid w:val="564B20A8"/>
    <w:rsid w:val="580461A4"/>
    <w:rsid w:val="586340B6"/>
    <w:rsid w:val="597B5CF8"/>
    <w:rsid w:val="5CE13DF9"/>
    <w:rsid w:val="5D396905"/>
    <w:rsid w:val="5D730178"/>
    <w:rsid w:val="5D7E5824"/>
    <w:rsid w:val="62660F38"/>
    <w:rsid w:val="62AD0052"/>
    <w:rsid w:val="645E6340"/>
    <w:rsid w:val="65C50B86"/>
    <w:rsid w:val="665146E0"/>
    <w:rsid w:val="66A61F9B"/>
    <w:rsid w:val="68320EBE"/>
    <w:rsid w:val="68840209"/>
    <w:rsid w:val="696372E0"/>
    <w:rsid w:val="6CCB679F"/>
    <w:rsid w:val="6D7825A4"/>
    <w:rsid w:val="6D8F68C7"/>
    <w:rsid w:val="705838E8"/>
    <w:rsid w:val="71303E41"/>
    <w:rsid w:val="7151042E"/>
    <w:rsid w:val="76A0780E"/>
    <w:rsid w:val="777D621D"/>
    <w:rsid w:val="78322C70"/>
    <w:rsid w:val="7D415502"/>
    <w:rsid w:val="7EA22B68"/>
    <w:rsid w:val="7EC116BC"/>
    <w:rsid w:val="7F081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jc w:val="center"/>
      <w:outlineLvl w:val="0"/>
    </w:pPr>
    <w:rPr>
      <w:szCs w:val="20"/>
    </w:rPr>
  </w:style>
  <w:style w:type="paragraph" w:styleId="4">
    <w:name w:val="heading 2"/>
    <w:basedOn w:val="1"/>
    <w:next w:val="1"/>
    <w:link w:val="86"/>
    <w:qFormat/>
    <w:uiPriority w:val="0"/>
    <w:pPr>
      <w:keepNext/>
      <w:keepLines/>
      <w:spacing w:line="360" w:lineRule="auto"/>
      <w:outlineLvl w:val="1"/>
    </w:pPr>
    <w:rPr>
      <w:rFonts w:ascii="Arial" w:hAnsi="Arial"/>
      <w:b/>
      <w:bCs/>
      <w:sz w:val="24"/>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3"/>
    <w:next w:val="1"/>
    <w:autoRedefine/>
    <w:qFormat/>
    <w:uiPriority w:val="0"/>
  </w:style>
  <w:style w:type="paragraph" w:styleId="5">
    <w:name w:val="Normal Indent"/>
    <w:basedOn w:val="1"/>
    <w:next w:val="6"/>
    <w:autoRedefine/>
    <w:qFormat/>
    <w:uiPriority w:val="0"/>
    <w:pPr>
      <w:ind w:firstLine="420" w:firstLineChars="200"/>
    </w:pPr>
    <w:rPr>
      <w:rFonts w:ascii="Calibri" w:hAnsi="Calibri"/>
      <w:sz w:val="24"/>
      <w:szCs w:val="22"/>
    </w:rPr>
  </w:style>
  <w:style w:type="paragraph" w:customStyle="1" w:styleId="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annotation text"/>
    <w:basedOn w:val="1"/>
    <w:link w:val="90"/>
    <w:semiHidden/>
    <w:unhideWhenUsed/>
    <w:qFormat/>
    <w:uiPriority w:val="0"/>
    <w:pPr>
      <w:jc w:val="left"/>
    </w:pPr>
  </w:style>
  <w:style w:type="paragraph" w:styleId="8">
    <w:name w:val="Body Text"/>
    <w:basedOn w:val="1"/>
    <w:link w:val="87"/>
    <w:qFormat/>
    <w:uiPriority w:val="0"/>
    <w:pPr>
      <w:spacing w:after="120"/>
    </w:pPr>
  </w:style>
  <w:style w:type="paragraph" w:styleId="9">
    <w:name w:val="Body Text Indent"/>
    <w:basedOn w:val="1"/>
    <w:next w:val="10"/>
    <w:link w:val="82"/>
    <w:autoRedefine/>
    <w:qFormat/>
    <w:uiPriority w:val="0"/>
    <w:pPr>
      <w:adjustRightInd w:val="0"/>
      <w:snapToGrid w:val="0"/>
      <w:spacing w:line="360" w:lineRule="atLeast"/>
      <w:ind w:firstLine="480"/>
    </w:pPr>
    <w:rPr>
      <w:sz w:val="24"/>
    </w:rPr>
  </w:style>
  <w:style w:type="paragraph" w:styleId="10">
    <w:name w:val="annotation subject"/>
    <w:basedOn w:val="7"/>
    <w:next w:val="1"/>
    <w:link w:val="91"/>
    <w:autoRedefine/>
    <w:semiHidden/>
    <w:unhideWhenUsed/>
    <w:qFormat/>
    <w:uiPriority w:val="0"/>
    <w:rPr>
      <w:b/>
      <w:bCs/>
    </w:rPr>
  </w:style>
  <w:style w:type="paragraph" w:styleId="11">
    <w:name w:val="Body Text Indent 2"/>
    <w:basedOn w:val="1"/>
    <w:autoRedefine/>
    <w:qFormat/>
    <w:uiPriority w:val="99"/>
    <w:pPr>
      <w:spacing w:after="120" w:line="480" w:lineRule="auto"/>
      <w:ind w:left="420" w:leftChars="200"/>
    </w:pPr>
    <w:rPr>
      <w:kern w:val="0"/>
      <w:sz w:val="24"/>
    </w:rPr>
  </w:style>
  <w:style w:type="paragraph" w:styleId="12">
    <w:name w:val="Balloon Text"/>
    <w:basedOn w:val="1"/>
    <w:autoRedefine/>
    <w:semiHidden/>
    <w:qFormat/>
    <w:uiPriority w:val="0"/>
    <w:rPr>
      <w:sz w:val="18"/>
      <w:szCs w:val="18"/>
    </w:r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style>
  <w:style w:type="paragraph" w:styleId="16">
    <w:name w:val="Body Text 2"/>
    <w:basedOn w:val="1"/>
    <w:link w:val="84"/>
    <w:autoRedefine/>
    <w:qFormat/>
    <w:uiPriority w:val="0"/>
    <w:pPr>
      <w:spacing w:after="120" w:line="480" w:lineRule="auto"/>
    </w:pPr>
  </w:style>
  <w:style w:type="paragraph" w:styleId="17">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8">
    <w:name w:val="Body Text First Indent 2"/>
    <w:basedOn w:val="9"/>
    <w:next w:val="1"/>
    <w:link w:val="83"/>
    <w:autoRedefine/>
    <w:qFormat/>
    <w:uiPriority w:val="0"/>
    <w:pPr>
      <w:adjustRightInd/>
      <w:snapToGrid/>
      <w:spacing w:after="120" w:line="240" w:lineRule="auto"/>
      <w:ind w:left="420" w:leftChars="200" w:firstLine="420" w:firstLineChars="200"/>
    </w:pPr>
    <w:rPr>
      <w:sz w:val="21"/>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autoRedefine/>
    <w:qFormat/>
    <w:uiPriority w:val="0"/>
  </w:style>
  <w:style w:type="character" w:styleId="23">
    <w:name w:val="FollowedHyperlink"/>
    <w:unhideWhenUsed/>
    <w:qFormat/>
    <w:uiPriority w:val="99"/>
    <w:rPr>
      <w:color w:val="800080"/>
      <w:u w:val="single"/>
    </w:rPr>
  </w:style>
  <w:style w:type="character" w:styleId="24">
    <w:name w:val="Emphasis"/>
    <w:autoRedefine/>
    <w:qFormat/>
    <w:uiPriority w:val="0"/>
    <w:rPr>
      <w:color w:val="CC0000"/>
    </w:rPr>
  </w:style>
  <w:style w:type="character" w:styleId="25">
    <w:name w:val="Hyperlink"/>
    <w:autoRedefine/>
    <w:qFormat/>
    <w:uiPriority w:val="99"/>
    <w:rPr>
      <w:color w:val="990000"/>
      <w:sz w:val="18"/>
      <w:szCs w:val="18"/>
      <w:u w:val="none"/>
    </w:rPr>
  </w:style>
  <w:style w:type="character" w:styleId="26">
    <w:name w:val="annotation reference"/>
    <w:basedOn w:val="21"/>
    <w:semiHidden/>
    <w:unhideWhenUsed/>
    <w:qFormat/>
    <w:uiPriority w:val="0"/>
    <w:rPr>
      <w:sz w:val="21"/>
      <w:szCs w:val="21"/>
    </w:rPr>
  </w:style>
  <w:style w:type="character" w:customStyle="1" w:styleId="27">
    <w:name w:val="style21"/>
    <w:qFormat/>
    <w:uiPriority w:val="0"/>
    <w:rPr>
      <w:sz w:val="22"/>
      <w:szCs w:val="22"/>
    </w:rPr>
  </w:style>
  <w:style w:type="character" w:customStyle="1" w:styleId="28">
    <w:name w:val="font21"/>
    <w:autoRedefine/>
    <w:qFormat/>
    <w:uiPriority w:val="0"/>
    <w:rPr>
      <w:rFonts w:hint="eastAsia" w:ascii="宋体" w:hAnsi="宋体" w:eastAsia="宋体" w:cs="宋体"/>
      <w:color w:val="000000"/>
      <w:sz w:val="20"/>
      <w:szCs w:val="20"/>
      <w:u w:val="none"/>
    </w:rPr>
  </w:style>
  <w:style w:type="character" w:customStyle="1" w:styleId="29">
    <w:name w:val="font41"/>
    <w:qFormat/>
    <w:uiPriority w:val="0"/>
    <w:rPr>
      <w:rFonts w:ascii="微软雅黑" w:hAnsi="微软雅黑" w:eastAsia="微软雅黑" w:cs="微软雅黑"/>
      <w:b/>
      <w:color w:val="000000"/>
      <w:sz w:val="40"/>
      <w:szCs w:val="40"/>
      <w:u w:val="none"/>
    </w:rPr>
  </w:style>
  <w:style w:type="character" w:customStyle="1" w:styleId="30">
    <w:name w:val="font01"/>
    <w:autoRedefine/>
    <w:qFormat/>
    <w:uiPriority w:val="0"/>
    <w:rPr>
      <w:rFonts w:hint="eastAsia" w:ascii="宋体" w:hAnsi="宋体" w:eastAsia="宋体" w:cs="宋体"/>
      <w:color w:val="000000"/>
      <w:sz w:val="22"/>
      <w:szCs w:val="22"/>
      <w:u w:val="none"/>
    </w:rPr>
  </w:style>
  <w:style w:type="character" w:customStyle="1" w:styleId="31">
    <w:name w:val="font31"/>
    <w:autoRedefine/>
    <w:qFormat/>
    <w:uiPriority w:val="0"/>
    <w:rPr>
      <w:rFonts w:hint="eastAsia" w:ascii="微软雅黑" w:hAnsi="微软雅黑" w:eastAsia="微软雅黑" w:cs="微软雅黑"/>
      <w:color w:val="000000"/>
      <w:sz w:val="20"/>
      <w:szCs w:val="20"/>
      <w:u w:val="none"/>
    </w:rPr>
  </w:style>
  <w:style w:type="paragraph" w:customStyle="1" w:styleId="32">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3">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5">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4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9">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5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4">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9">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6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6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3">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5">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7">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8">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9">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70">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7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72">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3">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5">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6">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7">
    <w:name w:val="font51"/>
    <w:basedOn w:val="21"/>
    <w:autoRedefine/>
    <w:qFormat/>
    <w:uiPriority w:val="0"/>
    <w:rPr>
      <w:rFonts w:hint="eastAsia" w:ascii="宋体" w:hAnsi="宋体" w:eastAsia="宋体" w:cs="宋体"/>
      <w:color w:val="000000"/>
      <w:sz w:val="24"/>
      <w:szCs w:val="24"/>
      <w:u w:val="none"/>
    </w:rPr>
  </w:style>
  <w:style w:type="character" w:customStyle="1" w:styleId="78">
    <w:name w:val="font81"/>
    <w:basedOn w:val="21"/>
    <w:autoRedefine/>
    <w:qFormat/>
    <w:uiPriority w:val="0"/>
    <w:rPr>
      <w:rFonts w:hint="eastAsia" w:ascii="宋体" w:hAnsi="宋体" w:eastAsia="宋体" w:cs="宋体"/>
      <w:color w:val="000000"/>
      <w:sz w:val="24"/>
      <w:szCs w:val="24"/>
      <w:u w:val="none"/>
    </w:rPr>
  </w:style>
  <w:style w:type="character" w:customStyle="1" w:styleId="79">
    <w:name w:val="font151"/>
    <w:basedOn w:val="21"/>
    <w:autoRedefine/>
    <w:qFormat/>
    <w:uiPriority w:val="0"/>
    <w:rPr>
      <w:rFonts w:hint="eastAsia" w:ascii="宋体" w:hAnsi="宋体" w:eastAsia="宋体" w:cs="宋体"/>
      <w:b/>
      <w:bCs/>
      <w:color w:val="000000"/>
      <w:sz w:val="24"/>
      <w:szCs w:val="24"/>
      <w:u w:val="none"/>
    </w:rPr>
  </w:style>
  <w:style w:type="character" w:customStyle="1" w:styleId="80">
    <w:name w:val="font161"/>
    <w:basedOn w:val="21"/>
    <w:autoRedefine/>
    <w:qFormat/>
    <w:uiPriority w:val="0"/>
    <w:rPr>
      <w:rFonts w:hint="eastAsia" w:ascii="宋体" w:hAnsi="宋体" w:eastAsia="宋体" w:cs="宋体"/>
      <w:b/>
      <w:bCs/>
      <w:color w:val="000000"/>
      <w:sz w:val="22"/>
      <w:szCs w:val="22"/>
      <w:u w:val="none"/>
    </w:rPr>
  </w:style>
  <w:style w:type="paragraph" w:styleId="81">
    <w:name w:val="List Paragraph"/>
    <w:basedOn w:val="1"/>
    <w:autoRedefine/>
    <w:unhideWhenUsed/>
    <w:qFormat/>
    <w:uiPriority w:val="99"/>
    <w:pPr>
      <w:ind w:firstLine="420" w:firstLineChars="200"/>
    </w:pPr>
  </w:style>
  <w:style w:type="character" w:customStyle="1" w:styleId="82">
    <w:name w:val="正文文本缩进 字符"/>
    <w:basedOn w:val="21"/>
    <w:link w:val="9"/>
    <w:autoRedefine/>
    <w:qFormat/>
    <w:uiPriority w:val="0"/>
    <w:rPr>
      <w:kern w:val="2"/>
      <w:sz w:val="24"/>
      <w:szCs w:val="24"/>
    </w:rPr>
  </w:style>
  <w:style w:type="character" w:customStyle="1" w:styleId="83">
    <w:name w:val="正文文本首行缩进 2 字符"/>
    <w:basedOn w:val="82"/>
    <w:link w:val="18"/>
    <w:autoRedefine/>
    <w:qFormat/>
    <w:uiPriority w:val="0"/>
    <w:rPr>
      <w:kern w:val="2"/>
      <w:sz w:val="24"/>
      <w:szCs w:val="24"/>
    </w:rPr>
  </w:style>
  <w:style w:type="character" w:customStyle="1" w:styleId="84">
    <w:name w:val="正文文本 2 字符"/>
    <w:basedOn w:val="21"/>
    <w:link w:val="16"/>
    <w:autoRedefine/>
    <w:qFormat/>
    <w:uiPriority w:val="0"/>
    <w:rPr>
      <w:kern w:val="2"/>
      <w:sz w:val="21"/>
      <w:szCs w:val="24"/>
    </w:rPr>
  </w:style>
  <w:style w:type="paragraph" w:customStyle="1" w:styleId="85">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6">
    <w:name w:val="标题 2 字符"/>
    <w:basedOn w:val="21"/>
    <w:link w:val="4"/>
    <w:autoRedefine/>
    <w:qFormat/>
    <w:uiPriority w:val="0"/>
    <w:rPr>
      <w:rFonts w:ascii="Arial" w:hAnsi="Arial"/>
      <w:b/>
      <w:bCs/>
      <w:kern w:val="2"/>
      <w:sz w:val="24"/>
      <w:szCs w:val="32"/>
    </w:rPr>
  </w:style>
  <w:style w:type="character" w:customStyle="1" w:styleId="87">
    <w:name w:val="正文文本 字符"/>
    <w:basedOn w:val="21"/>
    <w:link w:val="8"/>
    <w:autoRedefine/>
    <w:qFormat/>
    <w:uiPriority w:val="0"/>
    <w:rPr>
      <w:kern w:val="2"/>
      <w:sz w:val="21"/>
      <w:szCs w:val="24"/>
    </w:rPr>
  </w:style>
  <w:style w:type="paragraph" w:customStyle="1" w:styleId="88">
    <w:name w:val="EndnoteText"/>
    <w:basedOn w:val="1"/>
    <w:autoRedefine/>
    <w:qFormat/>
    <w:uiPriority w:val="0"/>
  </w:style>
  <w:style w:type="paragraph" w:customStyle="1" w:styleId="89">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90">
    <w:name w:val="批注文字 字符"/>
    <w:basedOn w:val="21"/>
    <w:link w:val="7"/>
    <w:autoRedefine/>
    <w:semiHidden/>
    <w:qFormat/>
    <w:uiPriority w:val="0"/>
    <w:rPr>
      <w:kern w:val="2"/>
      <w:sz w:val="21"/>
      <w:szCs w:val="24"/>
    </w:rPr>
  </w:style>
  <w:style w:type="character" w:customStyle="1" w:styleId="91">
    <w:name w:val="批注主题 字符"/>
    <w:basedOn w:val="90"/>
    <w:link w:val="10"/>
    <w:autoRedefine/>
    <w:semiHidden/>
    <w:qFormat/>
    <w:uiPriority w:val="0"/>
    <w:rPr>
      <w:b/>
      <w:bCs/>
      <w:kern w:val="2"/>
      <w:sz w:val="21"/>
      <w:szCs w:val="24"/>
    </w:rPr>
  </w:style>
  <w:style w:type="character" w:customStyle="1" w:styleId="92">
    <w:name w:val="15"/>
    <w:autoRedefine/>
    <w:qFormat/>
    <w:uiPriority w:val="0"/>
    <w:rPr>
      <w:rFonts w:hint="default" w:ascii="Times New Roman" w:hAnsi="Times New Roman" w:cs="Times New Roman"/>
      <w:color w:val="0000FF"/>
      <w:u w:val="single"/>
    </w:rPr>
  </w:style>
  <w:style w:type="paragraph" w:customStyle="1" w:styleId="93">
    <w:name w:val="正文首行缩进 21"/>
    <w:basedOn w:val="94"/>
    <w:autoRedefine/>
    <w:qFormat/>
    <w:uiPriority w:val="0"/>
    <w:pPr>
      <w:spacing w:after="0" w:line="500" w:lineRule="exact"/>
      <w:ind w:left="0" w:leftChars="0" w:firstLine="420" w:firstLineChars="200"/>
    </w:pPr>
    <w:rPr>
      <w:rFonts w:eastAsia="仿宋_GB2312"/>
      <w:kern w:val="2"/>
      <w:sz w:val="28"/>
    </w:rPr>
  </w:style>
  <w:style w:type="paragraph" w:customStyle="1" w:styleId="94">
    <w:name w:val="正文文本缩进1"/>
    <w:basedOn w:val="1"/>
    <w:qFormat/>
    <w:uiPriority w:val="0"/>
    <w:pPr>
      <w:spacing w:after="120" w:line="440" w:lineRule="exact"/>
      <w:ind w:left="420" w:leftChars="200"/>
    </w:pPr>
    <w:rPr>
      <w:kern w:val="0"/>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24</Pages>
  <Words>12329</Words>
  <Characters>12667</Characters>
  <Lines>100</Lines>
  <Paragraphs>28</Paragraphs>
  <TotalTime>5</TotalTime>
  <ScaleCrop>false</ScaleCrop>
  <LinksUpToDate>false</LinksUpToDate>
  <CharactersWithSpaces>13482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2024-04-19T03:55:00Z</dcterms:created>
  <dc:creator>jwc</dc:creator>
  <cp:lastModifiedBy>茜茜坨</cp:lastModifiedBy>
  <cp:lastPrinted>2009-02-17T01:24:00Z</cp:lastPrinted>
  <dcterms:modified xsi:type="dcterms:W3CDTF">2024-06-26T07:19:45Z</dcterms:modified>
  <dc:title>湖南科技大学2005-2006年教材招标</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1E75EBA7A86F4D4B899E42A40D61B840_13</vt:lpwstr>
  </property>
</Properties>
</file>