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kern w:val="0"/>
          <w:sz w:val="24"/>
        </w:rPr>
      </w:pPr>
      <w:r>
        <w:rPr>
          <w:rFonts w:hint="eastAsia" w:ascii="宋体" w:hAnsi="宋体" w:cs="宋体"/>
          <w:kern w:val="0"/>
          <w:sz w:val="24"/>
        </w:rPr>
        <w:t xml:space="preserve">                                                      </w:t>
      </w:r>
    </w:p>
    <w:p>
      <w:pPr>
        <w:jc w:val="center"/>
        <w:rPr>
          <w:rFonts w:eastAsia="黑体"/>
          <w:sz w:val="36"/>
        </w:rPr>
      </w:pPr>
    </w:p>
    <w:p>
      <w:pPr>
        <w:jc w:val="center"/>
        <w:rPr>
          <w:rFonts w:eastAsia="黑体"/>
          <w:b/>
          <w:sz w:val="52"/>
          <w:szCs w:val="52"/>
        </w:rPr>
      </w:pPr>
      <w:bookmarkStart w:id="0" w:name="_Hlk160805985"/>
      <w:r>
        <w:rPr>
          <w:rFonts w:hint="eastAsia" w:eastAsia="黑体"/>
          <w:b/>
          <w:sz w:val="52"/>
          <w:szCs w:val="52"/>
        </w:rPr>
        <w:t>湖南化工职业技术学院</w:t>
      </w:r>
    </w:p>
    <w:bookmarkEnd w:id="0"/>
    <w:p>
      <w:pPr>
        <w:jc w:val="center"/>
        <w:rPr>
          <w:rFonts w:ascii="黑体" w:hAnsi="黑体" w:eastAsia="黑体" w:cs="黑体"/>
          <w:b/>
          <w:bCs/>
          <w:sz w:val="48"/>
          <w:szCs w:val="48"/>
        </w:rPr>
      </w:pPr>
      <w:bookmarkStart w:id="1" w:name="_Hlk160805974"/>
      <w:r>
        <w:rPr>
          <w:rFonts w:hint="eastAsia" w:ascii="黑体" w:hAnsi="黑体" w:eastAsia="黑体" w:cs="黑体"/>
          <w:b/>
          <w:bCs/>
          <w:sz w:val="48"/>
          <w:szCs w:val="48"/>
        </w:rPr>
        <w:t>2024年实习实训及教学业务用车租赁服务</w:t>
      </w:r>
    </w:p>
    <w:p>
      <w:pPr>
        <w:jc w:val="center"/>
        <w:rPr>
          <w:rFonts w:ascii="黑体" w:hAnsi="黑体" w:eastAsia="黑体" w:cs="黑体"/>
          <w:b/>
          <w:bCs/>
          <w:sz w:val="48"/>
          <w:szCs w:val="48"/>
        </w:rPr>
      </w:pPr>
      <w:r>
        <w:rPr>
          <w:rFonts w:hint="eastAsia" w:ascii="黑体" w:hAnsi="黑体" w:eastAsia="黑体" w:cs="黑体"/>
          <w:b/>
          <w:bCs/>
          <w:sz w:val="48"/>
          <w:szCs w:val="48"/>
        </w:rPr>
        <w:t>采购项目</w:t>
      </w:r>
    </w:p>
    <w:p>
      <w:pPr>
        <w:jc w:val="center"/>
      </w:pPr>
    </w:p>
    <w:bookmarkEnd w:id="1"/>
    <w:p/>
    <w:p>
      <w:pPr>
        <w:spacing w:before="312" w:beforeLines="100"/>
        <w:jc w:val="center"/>
        <w:rPr>
          <w:rFonts w:ascii="黑体" w:hAnsi="黑体" w:eastAsia="黑体" w:cs="黑体"/>
          <w:sz w:val="84"/>
          <w:szCs w:val="84"/>
        </w:rPr>
      </w:pPr>
      <w:r>
        <w:rPr>
          <w:rFonts w:hint="eastAsia" w:ascii="黑体" w:hAnsi="黑体" w:eastAsia="黑体" w:cs="黑体"/>
          <w:sz w:val="84"/>
          <w:szCs w:val="84"/>
        </w:rPr>
        <w:t>比选文件</w:t>
      </w:r>
    </w:p>
    <w:p/>
    <w:p/>
    <w:p/>
    <w:p/>
    <w:p/>
    <w:p/>
    <w:p/>
    <w:p/>
    <w:p/>
    <w:p/>
    <w:p/>
    <w:p/>
    <w:p/>
    <w:p/>
    <w:p/>
    <w:p/>
    <w:p/>
    <w:p/>
    <w:p/>
    <w:p/>
    <w:p/>
    <w:p/>
    <w:p/>
    <w:p>
      <w:pPr>
        <w:jc w:val="center"/>
        <w:rPr>
          <w:sz w:val="32"/>
        </w:rPr>
      </w:pPr>
      <w:r>
        <w:rPr>
          <w:rFonts w:hint="eastAsia"/>
          <w:sz w:val="32"/>
        </w:rPr>
        <w:t>202</w:t>
      </w:r>
      <w:r>
        <w:rPr>
          <w:sz w:val="32"/>
        </w:rPr>
        <w:t>4</w:t>
      </w:r>
      <w:r>
        <w:rPr>
          <w:rFonts w:hint="eastAsia"/>
          <w:sz w:val="32"/>
        </w:rPr>
        <w:t>年</w:t>
      </w:r>
      <w:r>
        <w:rPr>
          <w:rFonts w:hint="eastAsia"/>
          <w:sz w:val="32"/>
          <w:lang w:val="en-US" w:eastAsia="zh-CN"/>
        </w:rPr>
        <w:t>6</w:t>
      </w:r>
      <w:r>
        <w:rPr>
          <w:rFonts w:hint="eastAsia"/>
          <w:sz w:val="32"/>
        </w:rPr>
        <w:t>月</w:t>
      </w:r>
    </w:p>
    <w:p/>
    <w:p/>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湖南化工职业技术学院</w:t>
      </w:r>
    </w:p>
    <w:p>
      <w:pPr>
        <w:widowControl/>
        <w:spacing w:line="360" w:lineRule="auto"/>
        <w:jc w:val="center"/>
        <w:rPr>
          <w:rFonts w:ascii="宋体" w:hAnsi="宋体" w:cs="宋体"/>
          <w:b/>
          <w:color w:val="FF0000"/>
          <w:kern w:val="0"/>
          <w:sz w:val="36"/>
          <w:szCs w:val="36"/>
        </w:rPr>
      </w:pPr>
      <w:bookmarkStart w:id="2" w:name="_Hlk160806041"/>
      <w:r>
        <w:rPr>
          <w:rFonts w:hint="eastAsia" w:ascii="宋体" w:hAnsi="宋体" w:cs="宋体"/>
          <w:b/>
          <w:color w:val="FF0000"/>
          <w:kern w:val="0"/>
          <w:sz w:val="36"/>
          <w:szCs w:val="36"/>
        </w:rPr>
        <w:t>2024年</w:t>
      </w:r>
      <w:bookmarkEnd w:id="2"/>
      <w:r>
        <w:rPr>
          <w:rFonts w:hint="eastAsia" w:ascii="宋体" w:hAnsi="宋体" w:cs="宋体"/>
          <w:b/>
          <w:color w:val="FF0000"/>
          <w:kern w:val="0"/>
          <w:sz w:val="36"/>
          <w:szCs w:val="36"/>
        </w:rPr>
        <w:t>实习实训及教学业务用车租赁服务采购项目</w:t>
      </w:r>
    </w:p>
    <w:p>
      <w:pPr>
        <w:widowControl/>
        <w:spacing w:line="360" w:lineRule="auto"/>
        <w:jc w:val="center"/>
        <w:rPr>
          <w:rFonts w:ascii="宋体" w:hAnsi="宋体" w:cs="宋体"/>
          <w:b/>
          <w:color w:val="FF0000"/>
          <w:kern w:val="0"/>
          <w:sz w:val="36"/>
          <w:szCs w:val="36"/>
        </w:rPr>
      </w:pPr>
      <w:r>
        <w:rPr>
          <w:rFonts w:hint="eastAsia" w:ascii="宋体" w:hAnsi="宋体" w:cs="宋体"/>
          <w:b/>
          <w:color w:val="FF0000"/>
          <w:kern w:val="0"/>
          <w:sz w:val="36"/>
          <w:szCs w:val="36"/>
        </w:rPr>
        <w:t>比选公告</w:t>
      </w:r>
    </w:p>
    <w:p>
      <w:pPr>
        <w:widowControl/>
        <w:spacing w:before="124" w:beforeLines="40" w:after="124" w:afterLines="40"/>
        <w:ind w:firstLine="360" w:firstLineChars="150"/>
        <w:rPr>
          <w:rFonts w:ascii="宋体" w:hAnsi="宋体" w:cs="宋体"/>
          <w:color w:val="000000"/>
          <w:kern w:val="0"/>
          <w:sz w:val="24"/>
        </w:rPr>
      </w:pPr>
      <w:r>
        <w:rPr>
          <w:rFonts w:ascii="宋体" w:hAnsi="宋体" w:cs="宋体"/>
          <w:color w:val="000000"/>
          <w:kern w:val="0"/>
          <w:sz w:val="24"/>
        </w:rPr>
        <w:t>根据《湖南</w:t>
      </w:r>
      <w:r>
        <w:rPr>
          <w:rFonts w:hint="eastAsia" w:ascii="宋体" w:hAnsi="宋体" w:cs="宋体"/>
          <w:color w:val="000000"/>
          <w:kern w:val="0"/>
          <w:sz w:val="24"/>
        </w:rPr>
        <w:t>化工职业技术学院</w:t>
      </w:r>
      <w:r>
        <w:rPr>
          <w:rFonts w:ascii="宋体" w:hAnsi="宋体" w:cs="宋体"/>
          <w:color w:val="000000"/>
          <w:kern w:val="0"/>
          <w:sz w:val="24"/>
        </w:rPr>
        <w:t>招</w:t>
      </w:r>
      <w:r>
        <w:rPr>
          <w:rFonts w:hint="eastAsia" w:ascii="宋体" w:hAnsi="宋体" w:cs="宋体"/>
          <w:color w:val="000000"/>
          <w:kern w:val="0"/>
          <w:sz w:val="24"/>
        </w:rPr>
        <w:t>投</w:t>
      </w:r>
      <w:r>
        <w:rPr>
          <w:rFonts w:ascii="宋体" w:hAnsi="宋体" w:cs="宋体"/>
          <w:color w:val="000000"/>
          <w:kern w:val="0"/>
          <w:sz w:val="24"/>
        </w:rPr>
        <w:t>标管理办法》，</w:t>
      </w:r>
      <w:r>
        <w:rPr>
          <w:rFonts w:hint="eastAsia" w:ascii="宋体" w:hAnsi="宋体" w:cs="宋体"/>
          <w:color w:val="000000"/>
          <w:kern w:val="0"/>
          <w:sz w:val="24"/>
        </w:rPr>
        <w:t>我院</w:t>
      </w:r>
      <w:r>
        <w:rPr>
          <w:rFonts w:ascii="宋体" w:hAnsi="宋体" w:cs="宋体"/>
          <w:color w:val="000000"/>
          <w:kern w:val="0"/>
          <w:sz w:val="24"/>
        </w:rPr>
        <w:t>拟对</w:t>
      </w:r>
      <w:r>
        <w:rPr>
          <w:rFonts w:hint="eastAsia" w:ascii="宋体" w:hAnsi="宋体" w:cs="宋体"/>
          <w:color w:val="000000"/>
          <w:kern w:val="0"/>
          <w:sz w:val="24"/>
        </w:rPr>
        <w:t>2024年实习实训及教学业务用车租赁服务采购项目</w:t>
      </w:r>
      <w:r>
        <w:rPr>
          <w:rFonts w:ascii="宋体" w:hAnsi="宋体" w:cs="宋体"/>
          <w:color w:val="000000"/>
          <w:kern w:val="0"/>
          <w:sz w:val="24"/>
        </w:rPr>
        <w:t>进行招标，现将招投标工作事宜公告如下：</w:t>
      </w:r>
    </w:p>
    <w:p>
      <w:pPr>
        <w:widowControl/>
        <w:numPr>
          <w:ilvl w:val="0"/>
          <w:numId w:val="1"/>
        </w:numPr>
        <w:spacing w:before="124" w:beforeLines="40" w:after="124" w:afterLines="40"/>
        <w:rPr>
          <w:rFonts w:ascii="宋体" w:hAnsi="宋体" w:cs="宋体"/>
          <w:color w:val="000000"/>
          <w:kern w:val="0"/>
          <w:sz w:val="24"/>
        </w:rPr>
      </w:pPr>
      <w:r>
        <w:rPr>
          <w:rFonts w:ascii="宋体" w:hAnsi="宋体" w:cs="宋体"/>
          <w:b/>
          <w:bCs/>
          <w:color w:val="000000"/>
          <w:kern w:val="0"/>
          <w:sz w:val="24"/>
        </w:rPr>
        <w:t xml:space="preserve"> </w:t>
      </w:r>
      <w:r>
        <w:rPr>
          <w:rFonts w:hint="eastAsia" w:ascii="宋体" w:hAnsi="宋体" w:cs="宋体"/>
          <w:b/>
          <w:bCs/>
          <w:color w:val="000000"/>
          <w:kern w:val="0"/>
          <w:sz w:val="24"/>
        </w:rPr>
        <w:t xml:space="preserve"> 采购项目基本概况</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1、</w:t>
      </w:r>
      <w:r>
        <w:rPr>
          <w:rFonts w:ascii="宋体" w:hAnsi="宋体" w:cs="宋体"/>
          <w:color w:val="000000"/>
          <w:kern w:val="0"/>
          <w:sz w:val="24"/>
        </w:rPr>
        <w:t>项目名称：</w:t>
      </w:r>
      <w:bookmarkStart w:id="3" w:name="_Hlk160807207"/>
      <w:r>
        <w:rPr>
          <w:rFonts w:hint="eastAsia" w:ascii="宋体" w:hAnsi="宋体" w:cs="宋体"/>
          <w:color w:val="000000"/>
          <w:kern w:val="0"/>
          <w:sz w:val="24"/>
        </w:rPr>
        <w:t>2024年</w:t>
      </w:r>
      <w:bookmarkEnd w:id="3"/>
      <w:r>
        <w:rPr>
          <w:rFonts w:hint="eastAsia" w:ascii="宋体" w:hAnsi="宋体" w:cs="宋体"/>
          <w:color w:val="000000"/>
          <w:kern w:val="0"/>
          <w:sz w:val="24"/>
        </w:rPr>
        <w:t>实习实训及教学业务用车租赁服务采购项目</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2、采购方式：比选采购</w:t>
      </w:r>
    </w:p>
    <w:p>
      <w:pPr>
        <w:widowControl/>
        <w:spacing w:before="124" w:beforeLines="40" w:after="124" w:afterLines="40"/>
        <w:ind w:firstLine="480" w:firstLineChars="200"/>
        <w:rPr>
          <w:rFonts w:ascii="宋体" w:hAnsi="宋体" w:cs="宋体"/>
          <w:color w:val="FF0000"/>
          <w:kern w:val="0"/>
          <w:sz w:val="24"/>
        </w:rPr>
      </w:pPr>
      <w:bookmarkStart w:id="4" w:name="_Hlk144221827"/>
      <w:r>
        <w:rPr>
          <w:rFonts w:hint="eastAsia" w:ascii="宋体" w:hAnsi="宋体" w:cs="宋体"/>
          <w:color w:val="000000"/>
          <w:kern w:val="0"/>
          <w:sz w:val="24"/>
        </w:rPr>
        <w:t>3、采购预算：</w:t>
      </w:r>
      <w:bookmarkEnd w:id="4"/>
      <w:r>
        <w:rPr>
          <w:rFonts w:hint="eastAsia" w:ascii="宋体" w:hAnsi="宋体" w:cs="宋体"/>
          <w:color w:val="000000"/>
          <w:kern w:val="0"/>
          <w:sz w:val="24"/>
        </w:rPr>
        <w:t>30.00万元（以实际采购为准）</w:t>
      </w:r>
    </w:p>
    <w:p>
      <w:pPr>
        <w:pStyle w:val="78"/>
        <w:widowControl/>
        <w:numPr>
          <w:ilvl w:val="1"/>
          <w:numId w:val="2"/>
        </w:numPr>
        <w:spacing w:before="124" w:beforeLines="40" w:after="124" w:afterLines="40"/>
        <w:ind w:firstLineChars="0"/>
        <w:rPr>
          <w:rFonts w:ascii="宋体" w:hAnsi="宋体" w:cs="宋体"/>
          <w:color w:val="000000"/>
          <w:kern w:val="0"/>
          <w:sz w:val="24"/>
        </w:rPr>
      </w:pPr>
      <w:r>
        <w:rPr>
          <w:rFonts w:hint="eastAsia" w:ascii="宋体" w:hAnsi="宋体" w:cs="宋体"/>
          <w:b/>
          <w:bCs/>
          <w:color w:val="000000"/>
          <w:kern w:val="0"/>
          <w:sz w:val="24"/>
        </w:rPr>
        <w:t>资格条件</w:t>
      </w:r>
    </w:p>
    <w:p>
      <w:pPr>
        <w:widowControl/>
        <w:ind w:left="284"/>
        <w:rPr>
          <w:rFonts w:ascii="宋体" w:hAnsi="宋体" w:cs="宋体"/>
          <w:color w:val="000000"/>
          <w:kern w:val="0"/>
          <w:sz w:val="24"/>
        </w:rPr>
      </w:pPr>
      <w:bookmarkStart w:id="5" w:name="_Hlk160807244"/>
      <w:r>
        <w:rPr>
          <w:rFonts w:hint="eastAsia" w:ascii="宋体" w:hAnsi="宋体" w:cs="宋体"/>
          <w:color w:val="000000"/>
          <w:kern w:val="0"/>
          <w:sz w:val="24"/>
        </w:rPr>
        <w:t>（一）基本资格条件</w:t>
      </w:r>
    </w:p>
    <w:bookmarkEnd w:id="5"/>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1、具有独立的法人资格和承担民事责任的能力；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是工商部门注册的证件齐全的正规租赁公司，符合相关用车资质要求；提供的车辆必须是本公司注册车辆，保证设备完善、证件齐全、车况良好、运行安全可靠。所有租赁车辆必须都购买了相关保险，如交强险、责任险、座位险、乘客险等且保额不低于100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3、社会信誉好，近三年无不良行为记录；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4、近年来财务状况良好；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5、提供报价车辆行驶证及相关保险证明资料复印件；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6、提供报价车辆驾驶员驾照复印件，并提供近三个月的社保记录；</w:t>
      </w:r>
    </w:p>
    <w:p>
      <w:pPr>
        <w:widowControl/>
        <w:spacing w:line="360" w:lineRule="auto"/>
        <w:ind w:firstLine="480" w:firstLineChars="200"/>
        <w:jc w:val="left"/>
        <w:rPr>
          <w:rFonts w:ascii="宋体" w:hAnsi="宋体" w:cs="宋体"/>
          <w:b/>
          <w:bCs/>
          <w:color w:val="000000"/>
          <w:kern w:val="0"/>
          <w:sz w:val="24"/>
        </w:rPr>
      </w:pPr>
      <w:r>
        <w:rPr>
          <w:rFonts w:hint="eastAsia" w:ascii="宋体" w:hAnsi="宋体" w:cs="宋体"/>
          <w:color w:val="000000"/>
          <w:kern w:val="0"/>
          <w:sz w:val="24"/>
        </w:rPr>
        <w:t>7、</w:t>
      </w:r>
      <w:r>
        <w:rPr>
          <w:rFonts w:hint="eastAsia" w:ascii="宋体" w:hAnsi="宋体" w:cs="宋体"/>
          <w:b/>
          <w:bCs/>
          <w:color w:val="000000"/>
          <w:kern w:val="0"/>
          <w:sz w:val="24"/>
        </w:rPr>
        <w:t>已入驻湖南省财政厅政府采购电子卖场，确保相关交易在电子卖场平台顺利完成。</w:t>
      </w:r>
    </w:p>
    <w:p>
      <w:pPr>
        <w:widowControl/>
        <w:spacing w:line="360" w:lineRule="auto"/>
        <w:ind w:firstLine="480" w:firstLineChars="200"/>
        <w:jc w:val="left"/>
        <w:rPr>
          <w:rFonts w:ascii="宋体" w:hAnsi="宋体" w:cs="宋体"/>
          <w:b/>
          <w:bCs/>
          <w:color w:val="000000"/>
          <w:kern w:val="0"/>
          <w:sz w:val="24"/>
        </w:rPr>
      </w:pPr>
      <w:r>
        <w:rPr>
          <w:rFonts w:hint="eastAsia" w:ascii="宋体" w:hAnsi="宋体" w:cs="宋体"/>
          <w:color w:val="000000"/>
          <w:kern w:val="0"/>
          <w:sz w:val="24"/>
        </w:rPr>
        <w:t>8、本项目不接受联合体投标。</w:t>
      </w:r>
    </w:p>
    <w:p>
      <w:pPr>
        <w:widowControl/>
        <w:spacing w:before="156" w:beforeLines="50" w:after="156" w:afterLines="50" w:line="440" w:lineRule="exact"/>
        <w:ind w:firstLine="482" w:firstLineChars="200"/>
        <w:jc w:val="left"/>
        <w:rPr>
          <w:rFonts w:ascii="宋体" w:hAnsi="宋体" w:cs="宋体"/>
          <w:b/>
          <w:bCs/>
          <w:color w:val="000000"/>
          <w:kern w:val="0"/>
          <w:sz w:val="24"/>
        </w:rPr>
      </w:pPr>
      <w:r>
        <w:rPr>
          <w:rFonts w:hint="eastAsia" w:ascii="宋体" w:hAnsi="宋体" w:cs="宋体"/>
          <w:b/>
          <w:bCs/>
          <w:color w:val="000000"/>
          <w:kern w:val="0"/>
          <w:sz w:val="24"/>
        </w:rPr>
        <w:t>三、报名及获取比选文件的期限和方式</w:t>
      </w:r>
    </w:p>
    <w:p>
      <w:pPr>
        <w:widowControl/>
        <w:spacing w:before="124" w:beforeLines="40" w:after="124" w:afterLines="40"/>
        <w:ind w:firstLine="480" w:firstLineChars="200"/>
        <w:rPr>
          <w:rFonts w:ascii="宋体" w:hAnsi="宋体" w:cs="宋体"/>
          <w:color w:val="000000"/>
          <w:kern w:val="0"/>
          <w:sz w:val="24"/>
          <w:highlight w:val="none"/>
        </w:rPr>
      </w:pPr>
      <w:r>
        <w:rPr>
          <w:rFonts w:hint="eastAsia" w:ascii="宋体" w:hAnsi="宋体" w:cs="宋体"/>
          <w:color w:val="000000"/>
          <w:kern w:val="0"/>
          <w:sz w:val="24"/>
        </w:rPr>
        <w:t>1、报名时间：</w:t>
      </w:r>
      <w:r>
        <w:rPr>
          <w:rFonts w:hint="eastAsia" w:ascii="宋体" w:hAnsi="宋体" w:cs="宋体"/>
          <w:color w:val="000000"/>
          <w:kern w:val="0"/>
          <w:sz w:val="24"/>
          <w:highlight w:val="none"/>
        </w:rPr>
        <w:t>2024年</w:t>
      </w:r>
      <w:r>
        <w:rPr>
          <w:rFonts w:hint="eastAsia" w:ascii="宋体" w:hAnsi="宋体" w:cs="宋体"/>
          <w:color w:val="000000"/>
          <w:kern w:val="0"/>
          <w:sz w:val="24"/>
          <w:highlight w:val="none"/>
          <w:lang w:val="en-US" w:eastAsia="zh-CN"/>
        </w:rPr>
        <w:t>6</w:t>
      </w:r>
      <w:r>
        <w:rPr>
          <w:rFonts w:hint="eastAsia" w:ascii="宋体" w:hAnsi="宋体" w:cs="宋体"/>
          <w:color w:val="000000"/>
          <w:kern w:val="0"/>
          <w:sz w:val="24"/>
          <w:highlight w:val="none"/>
        </w:rPr>
        <w:t>月</w:t>
      </w:r>
      <w:r>
        <w:rPr>
          <w:rFonts w:hint="eastAsia" w:ascii="宋体" w:hAnsi="宋体" w:cs="宋体"/>
          <w:color w:val="000000"/>
          <w:kern w:val="0"/>
          <w:sz w:val="24"/>
          <w:highlight w:val="none"/>
          <w:lang w:val="en-US" w:eastAsia="zh-CN"/>
        </w:rPr>
        <w:t>6</w:t>
      </w:r>
      <w:r>
        <w:rPr>
          <w:rFonts w:hint="eastAsia" w:ascii="宋体" w:hAnsi="宋体" w:cs="宋体"/>
          <w:color w:val="000000"/>
          <w:kern w:val="0"/>
          <w:sz w:val="24"/>
          <w:highlight w:val="none"/>
        </w:rPr>
        <w:t>日至2024年6月</w:t>
      </w:r>
      <w:r>
        <w:rPr>
          <w:rFonts w:hint="eastAsia" w:ascii="宋体" w:hAnsi="宋体" w:cs="宋体"/>
          <w:color w:val="000000"/>
          <w:kern w:val="0"/>
          <w:sz w:val="24"/>
          <w:highlight w:val="none"/>
          <w:lang w:val="en-US" w:eastAsia="zh-CN"/>
        </w:rPr>
        <w:t>1</w:t>
      </w:r>
      <w:r>
        <w:rPr>
          <w:rFonts w:hint="eastAsia" w:ascii="宋体" w:hAnsi="宋体" w:cs="宋体"/>
          <w:color w:val="000000"/>
          <w:kern w:val="0"/>
          <w:sz w:val="24"/>
          <w:highlight w:val="none"/>
        </w:rPr>
        <w:t>3日17：00止；</w:t>
      </w:r>
    </w:p>
    <w:p>
      <w:pPr>
        <w:widowControl/>
        <w:spacing w:line="440" w:lineRule="exact"/>
        <w:ind w:left="479" w:leftChars="228"/>
        <w:jc w:val="left"/>
        <w:rPr>
          <w:rFonts w:ascii="宋体" w:hAnsi="宋体" w:cs="宋体"/>
          <w:color w:val="000000"/>
          <w:kern w:val="0"/>
          <w:sz w:val="24"/>
        </w:rPr>
      </w:pPr>
      <w:r>
        <w:rPr>
          <w:rFonts w:hint="eastAsia" w:ascii="宋体" w:hAnsi="宋体" w:cs="宋体"/>
          <w:color w:val="000000"/>
          <w:kern w:val="0"/>
          <w:sz w:val="24"/>
        </w:rPr>
        <w:t>2、报名方式：供应商通过电子邮件将参与投标项目信息（参与项目、投标单位名称、项目负责人、联系电话）发到指定邮箱</w:t>
      </w:r>
      <w:r>
        <w:rPr>
          <w:rFonts w:hint="eastAsia" w:ascii="宋体" w:hAnsi="宋体" w:cs="宋体"/>
          <w:kern w:val="0"/>
          <w:sz w:val="24"/>
        </w:rPr>
        <w:t>（</w:t>
      </w:r>
      <w:r>
        <w:fldChar w:fldCharType="begin"/>
      </w:r>
      <w:r>
        <w:instrText xml:space="preserve"> HYPERLINK "mailto:zcglccg@126.com" </w:instrText>
      </w:r>
      <w:r>
        <w:fldChar w:fldCharType="separate"/>
      </w:r>
      <w:r>
        <w:rPr>
          <w:rStyle w:val="22"/>
          <w:rFonts w:hint="eastAsia" w:ascii="宋体" w:hAnsi="宋体" w:cs="宋体"/>
          <w:color w:val="auto"/>
          <w:kern w:val="0"/>
          <w:sz w:val="24"/>
        </w:rPr>
        <w:t>zcglccg@126.com</w:t>
      </w:r>
      <w:r>
        <w:rPr>
          <w:rStyle w:val="22"/>
          <w:rFonts w:hint="eastAsia" w:ascii="宋体" w:hAnsi="宋体" w:cs="宋体"/>
          <w:color w:val="auto"/>
          <w:kern w:val="0"/>
          <w:sz w:val="24"/>
        </w:rPr>
        <w:fldChar w:fldCharType="end"/>
      </w:r>
      <w:r>
        <w:rPr>
          <w:rFonts w:hint="eastAsia" w:ascii="宋体" w:hAnsi="宋体" w:cs="宋体"/>
          <w:kern w:val="0"/>
          <w:sz w:val="24"/>
        </w:rPr>
        <w:t>）</w:t>
      </w:r>
      <w:r>
        <w:rPr>
          <w:rFonts w:hint="eastAsia" w:ascii="宋体" w:hAnsi="宋体" w:cs="宋体"/>
          <w:color w:val="000000"/>
          <w:kern w:val="0"/>
          <w:sz w:val="24"/>
        </w:rPr>
        <w:t>；</w:t>
      </w:r>
    </w:p>
    <w:p>
      <w:pPr>
        <w:widowControl/>
        <w:spacing w:line="440" w:lineRule="exact"/>
        <w:ind w:left="479" w:leftChars="228"/>
        <w:jc w:val="left"/>
        <w:rPr>
          <w:rFonts w:ascii="宋体" w:hAnsi="宋体" w:cs="宋体"/>
          <w:color w:val="000000"/>
          <w:kern w:val="0"/>
          <w:sz w:val="24"/>
        </w:rPr>
      </w:pPr>
      <w:r>
        <w:rPr>
          <w:rFonts w:ascii="宋体" w:hAnsi="宋体" w:cs="宋体"/>
          <w:color w:val="000000"/>
          <w:kern w:val="0"/>
          <w:sz w:val="24"/>
        </w:rPr>
        <w:t>3</w:t>
      </w:r>
      <w:r>
        <w:rPr>
          <w:rFonts w:hint="eastAsia" w:ascii="宋体" w:hAnsi="宋体" w:cs="宋体"/>
          <w:color w:val="000000"/>
          <w:kern w:val="0"/>
          <w:sz w:val="24"/>
        </w:rPr>
        <w:t>、比选文件获取方式：</w:t>
      </w:r>
      <w:r>
        <w:rPr>
          <w:rFonts w:hint="eastAsia" w:ascii="宋体" w:hAnsi="宋体" w:cs="宋体"/>
          <w:color w:val="000000"/>
          <w:kern w:val="0"/>
          <w:sz w:val="24"/>
        </w:rPr>
        <w:t>供应商自行下载获取招标文件</w:t>
      </w:r>
      <w:bookmarkStart w:id="12" w:name="_GoBack"/>
      <w:bookmarkEnd w:id="12"/>
      <w:r>
        <w:rPr>
          <w:rFonts w:hint="eastAsia" w:ascii="宋体" w:hAnsi="宋体" w:cs="宋体"/>
          <w:color w:val="000000"/>
          <w:sz w:val="24"/>
        </w:rPr>
        <w:t>。</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四、开标信息</w:t>
      </w:r>
    </w:p>
    <w:p>
      <w:pPr>
        <w:widowControl/>
        <w:spacing w:before="124" w:beforeLines="40" w:after="124" w:afterLines="40"/>
        <w:ind w:firstLine="480" w:firstLineChars="200"/>
        <w:rPr>
          <w:rFonts w:ascii="宋体" w:hAnsi="宋体" w:cs="宋体"/>
          <w:color w:val="000000"/>
          <w:kern w:val="0"/>
          <w:sz w:val="24"/>
          <w:highlight w:val="none"/>
        </w:rPr>
      </w:pPr>
      <w:r>
        <w:rPr>
          <w:rFonts w:hint="eastAsia" w:ascii="宋体" w:hAnsi="宋体" w:cs="宋体"/>
          <w:color w:val="000000"/>
          <w:kern w:val="0"/>
          <w:sz w:val="24"/>
        </w:rPr>
        <w:t>1、响应文件递交开始时间：</w:t>
      </w:r>
      <w:r>
        <w:rPr>
          <w:rFonts w:hint="eastAsia" w:ascii="宋体" w:hAnsi="宋体" w:cs="宋体"/>
          <w:color w:val="000000"/>
          <w:kern w:val="0"/>
          <w:sz w:val="24"/>
          <w:highlight w:val="none"/>
        </w:rPr>
        <w:t>2024年6月</w:t>
      </w:r>
      <w:r>
        <w:rPr>
          <w:rFonts w:hint="eastAsia" w:ascii="宋体" w:hAnsi="宋体" w:cs="宋体"/>
          <w:color w:val="000000"/>
          <w:kern w:val="0"/>
          <w:sz w:val="24"/>
          <w:highlight w:val="none"/>
          <w:lang w:val="en-US" w:eastAsia="zh-CN"/>
        </w:rPr>
        <w:t>14</w:t>
      </w:r>
      <w:r>
        <w:rPr>
          <w:rFonts w:hint="eastAsia" w:ascii="宋体" w:hAnsi="宋体" w:cs="宋体"/>
          <w:color w:val="000000"/>
          <w:kern w:val="0"/>
          <w:sz w:val="24"/>
          <w:highlight w:val="none"/>
        </w:rPr>
        <w:t>日北京时间9:00；</w:t>
      </w:r>
    </w:p>
    <w:p>
      <w:pPr>
        <w:widowControl/>
        <w:spacing w:before="124" w:beforeLines="40" w:after="124" w:afterLines="40"/>
        <w:ind w:firstLine="480" w:firstLineChars="200"/>
        <w:rPr>
          <w:rFonts w:ascii="宋体" w:hAnsi="宋体" w:cs="宋体"/>
          <w:color w:val="000000"/>
          <w:kern w:val="0"/>
          <w:sz w:val="24"/>
          <w:highlight w:val="none"/>
        </w:rPr>
      </w:pPr>
      <w:r>
        <w:rPr>
          <w:rFonts w:hint="eastAsia" w:ascii="宋体" w:hAnsi="宋体" w:cs="宋体"/>
          <w:color w:val="000000"/>
          <w:kern w:val="0"/>
          <w:sz w:val="24"/>
          <w:highlight w:val="none"/>
        </w:rPr>
        <w:t>2、响应文件递交截止时间（开标时间）：2024年6月</w:t>
      </w:r>
      <w:r>
        <w:rPr>
          <w:rFonts w:hint="eastAsia" w:ascii="宋体" w:hAnsi="宋体" w:cs="宋体"/>
          <w:color w:val="000000"/>
          <w:kern w:val="0"/>
          <w:sz w:val="24"/>
          <w:highlight w:val="none"/>
          <w:lang w:val="en-US" w:eastAsia="zh-CN"/>
        </w:rPr>
        <w:t>14</w:t>
      </w:r>
      <w:r>
        <w:rPr>
          <w:rFonts w:hint="eastAsia" w:ascii="宋体" w:hAnsi="宋体" w:cs="宋体"/>
          <w:color w:val="000000"/>
          <w:kern w:val="0"/>
          <w:sz w:val="24"/>
          <w:highlight w:val="none"/>
        </w:rPr>
        <w:t>日北京时间9:00；</w:t>
      </w:r>
    </w:p>
    <w:p>
      <w:pPr>
        <w:widowControl/>
        <w:spacing w:before="124" w:beforeLines="40" w:after="124" w:afterLines="40"/>
        <w:ind w:firstLine="480" w:firstLineChars="200"/>
        <w:rPr>
          <w:rFonts w:ascii="宋体" w:hAnsi="宋体" w:cs="宋体"/>
          <w:color w:val="000000"/>
          <w:kern w:val="0"/>
          <w:sz w:val="24"/>
        </w:rPr>
      </w:pPr>
      <w:r>
        <w:rPr>
          <w:rFonts w:hint="eastAsia" w:ascii="宋体" w:hAnsi="宋体" w:cs="宋体"/>
          <w:color w:val="000000"/>
          <w:kern w:val="0"/>
          <w:sz w:val="24"/>
        </w:rPr>
        <w:t>3、开标地点：湖南化工职业技术学院行政楼109室。</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五、发布公告的媒介</w:t>
      </w:r>
    </w:p>
    <w:p>
      <w:pPr>
        <w:widowControl/>
        <w:spacing w:line="440" w:lineRule="exact"/>
        <w:ind w:left="479" w:leftChars="228" w:firstLine="480" w:firstLineChars="200"/>
        <w:rPr>
          <w:rFonts w:ascii="宋体" w:hAnsi="宋体" w:cs="宋体"/>
          <w:color w:val="000000"/>
          <w:kern w:val="0"/>
          <w:sz w:val="24"/>
        </w:rPr>
      </w:pPr>
      <w:r>
        <w:rPr>
          <w:rFonts w:hint="eastAsia" w:ascii="宋体" w:hAnsi="宋体" w:cs="宋体"/>
          <w:color w:val="000000"/>
          <w:kern w:val="0"/>
          <w:sz w:val="24"/>
        </w:rPr>
        <w:t>本次比选采购邀请公告在湖南化工职业技术学院官网通知公告（http://www.hnhgzy.com）上发布。</w:t>
      </w:r>
    </w:p>
    <w:p>
      <w:pPr>
        <w:widowControl/>
        <w:spacing w:before="156" w:beforeLines="50" w:after="156" w:afterLines="50" w:line="440" w:lineRule="exact"/>
        <w:ind w:left="479" w:leftChars="228"/>
        <w:jc w:val="left"/>
        <w:rPr>
          <w:rFonts w:ascii="宋体" w:hAnsi="宋体" w:cs="宋体"/>
          <w:b/>
          <w:bCs/>
          <w:color w:val="000000"/>
          <w:kern w:val="0"/>
          <w:sz w:val="24"/>
        </w:rPr>
      </w:pPr>
      <w:r>
        <w:rPr>
          <w:rFonts w:hint="eastAsia" w:ascii="宋体" w:hAnsi="宋体" w:cs="宋体"/>
          <w:b/>
          <w:bCs/>
          <w:color w:val="000000"/>
          <w:kern w:val="0"/>
          <w:sz w:val="24"/>
        </w:rPr>
        <w:t>六、联系方式</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采购人：湖南化工职业技术学院</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联系人：赵老师</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电 话：0731-22537501</w:t>
      </w:r>
    </w:p>
    <w:p>
      <w:pPr>
        <w:widowControl/>
        <w:spacing w:line="440" w:lineRule="exact"/>
        <w:ind w:left="479" w:leftChars="228" w:firstLine="480" w:firstLineChars="200"/>
        <w:jc w:val="left"/>
        <w:rPr>
          <w:rFonts w:ascii="宋体" w:hAnsi="宋体" w:cs="宋体"/>
          <w:color w:val="000000"/>
          <w:kern w:val="0"/>
          <w:sz w:val="24"/>
        </w:rPr>
      </w:pPr>
      <w:r>
        <w:rPr>
          <w:rFonts w:hint="eastAsia" w:ascii="宋体" w:hAnsi="宋体" w:cs="宋体"/>
          <w:color w:val="000000"/>
          <w:kern w:val="0"/>
          <w:sz w:val="24"/>
        </w:rPr>
        <w:t xml:space="preserve">地  址：湖南省株洲市云龙区职教城                           </w:t>
      </w:r>
    </w:p>
    <w:p>
      <w:pPr>
        <w:pStyle w:val="3"/>
        <w:ind w:firstLine="480"/>
        <w:rPr>
          <w:color w:val="000000"/>
        </w:rPr>
      </w:pPr>
    </w:p>
    <w:p>
      <w:pPr>
        <w:pStyle w:val="4"/>
        <w:rPr>
          <w:color w:val="000000"/>
        </w:rPr>
      </w:pPr>
    </w:p>
    <w:p>
      <w:pPr>
        <w:pStyle w:val="4"/>
        <w:rPr>
          <w:color w:val="000000"/>
        </w:rPr>
      </w:pPr>
    </w:p>
    <w:p>
      <w:pPr>
        <w:widowControl/>
        <w:spacing w:line="440" w:lineRule="exact"/>
        <w:jc w:val="center"/>
        <w:rPr>
          <w:rFonts w:ascii="宋体" w:hAnsi="宋体" w:cs="宋体"/>
          <w:color w:val="000000"/>
          <w:kern w:val="0"/>
          <w:sz w:val="24"/>
        </w:rPr>
      </w:pPr>
      <w:r>
        <w:rPr>
          <w:rFonts w:hint="eastAsia" w:ascii="宋体" w:hAnsi="宋体" w:cs="宋体"/>
          <w:color w:val="000000"/>
          <w:kern w:val="0"/>
          <w:sz w:val="24"/>
        </w:rPr>
        <w:t xml:space="preserve">                 </w:t>
      </w:r>
      <w:r>
        <w:rPr>
          <w:rFonts w:ascii="宋体" w:hAnsi="宋体" w:cs="宋体"/>
          <w:color w:val="000000"/>
          <w:kern w:val="0"/>
          <w:sz w:val="24"/>
        </w:rPr>
        <w:t xml:space="preserve">       </w:t>
      </w:r>
      <w:r>
        <w:rPr>
          <w:rFonts w:hint="eastAsia" w:ascii="宋体" w:hAnsi="宋体" w:cs="宋体"/>
          <w:color w:val="000000"/>
          <w:kern w:val="0"/>
          <w:sz w:val="24"/>
        </w:rPr>
        <w:t xml:space="preserve">   </w:t>
      </w:r>
    </w:p>
    <w:p>
      <w:pPr>
        <w:widowControl/>
        <w:spacing w:line="440" w:lineRule="exact"/>
        <w:ind w:firstLine="5280" w:firstLineChars="2200"/>
        <w:jc w:val="left"/>
        <w:rPr>
          <w:rFonts w:ascii="宋体" w:hAnsi="宋体" w:cs="宋体"/>
          <w:kern w:val="0"/>
          <w:sz w:val="24"/>
        </w:rPr>
      </w:pPr>
      <w:r>
        <w:rPr>
          <w:rFonts w:ascii="宋体" w:hAnsi="宋体" w:cs="宋体"/>
          <w:kern w:val="0"/>
          <w:sz w:val="24"/>
        </w:rPr>
        <w:br w:type="page"/>
      </w:r>
    </w:p>
    <w:p>
      <w:pPr>
        <w:widowControl/>
        <w:spacing w:before="124" w:beforeLines="40" w:after="124" w:afterLines="40" w:line="375" w:lineRule="atLeast"/>
        <w:jc w:val="center"/>
        <w:rPr>
          <w:rFonts w:ascii="微软雅黑" w:hAnsi="微软雅黑" w:eastAsia="微软雅黑" w:cs="微软雅黑"/>
          <w:b/>
          <w:color w:val="000000"/>
          <w:kern w:val="0"/>
          <w:sz w:val="30"/>
          <w:szCs w:val="30"/>
        </w:rPr>
      </w:pPr>
      <w:r>
        <w:rPr>
          <w:rFonts w:hint="eastAsia" w:ascii="微软雅黑" w:hAnsi="微软雅黑" w:eastAsia="微软雅黑" w:cs="微软雅黑"/>
          <w:b/>
          <w:color w:val="000000"/>
          <w:kern w:val="0"/>
          <w:sz w:val="30"/>
          <w:szCs w:val="30"/>
        </w:rPr>
        <w:t>比选须知</w:t>
      </w:r>
    </w:p>
    <w:p>
      <w:pPr>
        <w:widowControl/>
        <w:spacing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一、说明</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1、适用范围：本招标书仅适用于本次招标。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2、合格投标人：提交</w:t>
      </w:r>
      <w:r>
        <w:rPr>
          <w:rFonts w:hint="eastAsia" w:ascii="宋体" w:hAnsi="宋体" w:cs="宋体"/>
          <w:b/>
          <w:bCs/>
          <w:color w:val="000000"/>
          <w:kern w:val="0"/>
          <w:sz w:val="24"/>
        </w:rPr>
        <w:t>附件3</w:t>
      </w:r>
      <w:r>
        <w:rPr>
          <w:rFonts w:hint="eastAsia" w:ascii="宋体" w:hAnsi="宋体" w:cs="宋体"/>
          <w:color w:val="000000"/>
          <w:kern w:val="0"/>
          <w:sz w:val="24"/>
        </w:rPr>
        <w:t>所列各项条件的被邀请单位为合格投标人。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3、招标人：系指湖南化工职业技术学院。</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4、投标人：系指向招标人提交投标文件的合格投标人。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5、服务：系指招标文件规定卖方须承担的相关工作。</w:t>
      </w:r>
    </w:p>
    <w:p>
      <w:pPr>
        <w:widowControl/>
        <w:spacing w:before="156" w:beforeLines="50" w:after="156" w:afterLines="50"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二、比选文件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1、投标比选文件的编制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投标人应仔细阅读招标文件所有内容，并按招标文件的规定及附件要求的内容和格式，提交完整的投标文件。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投标人应向甲方提供约定的服务的所有内容并保证服务质量。</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2、比选文件的组成</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highlight w:val="green"/>
        </w:rPr>
        <w:t>投标人递交的比选文件按照以下格式进行编制：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（1）投标文件目录及</w:t>
      </w:r>
      <w:r>
        <w:rPr>
          <w:rFonts w:hint="eastAsia" w:ascii="宋体" w:hAnsi="宋体" w:cs="宋体"/>
          <w:color w:val="000000"/>
          <w:kern w:val="0"/>
          <w:sz w:val="24"/>
          <w:highlight w:val="green"/>
        </w:rPr>
        <w:t>评分标准佐证材料索引；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（2）投标书</w:t>
      </w:r>
    </w:p>
    <w:p>
      <w:pPr>
        <w:pStyle w:val="6"/>
        <w:spacing w:after="0" w:line="360" w:lineRule="auto"/>
        <w:ind w:firstLine="480" w:firstLineChars="200"/>
        <w:jc w:val="left"/>
      </w:pPr>
      <w:r>
        <w:rPr>
          <w:rFonts w:hint="eastAsia" w:ascii="宋体" w:hAnsi="宋体" w:cs="宋体"/>
          <w:color w:val="000000"/>
          <w:kern w:val="0"/>
          <w:sz w:val="24"/>
        </w:rPr>
        <w:t>（3）开标一览表</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（4）服务方案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（5）服务承诺书</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（6）供应商资质证明材料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（7）技术参数响应及实施方案</w:t>
      </w:r>
    </w:p>
    <w:p>
      <w:pPr>
        <w:pStyle w:val="15"/>
        <w:tabs>
          <w:tab w:val="left" w:pos="3420"/>
        </w:tabs>
        <w:spacing w:after="0" w:line="360" w:lineRule="auto"/>
        <w:ind w:left="0" w:leftChars="0" w:firstLine="480"/>
        <w:jc w:val="left"/>
        <w:rPr>
          <w:rFonts w:ascii="宋体" w:hAnsi="宋体" w:cs="宋体"/>
          <w:kern w:val="0"/>
          <w:sz w:val="24"/>
        </w:rPr>
      </w:pPr>
      <w:r>
        <w:rPr>
          <w:rFonts w:hint="eastAsia" w:ascii="宋体" w:hAnsi="宋体" w:cs="宋体"/>
          <w:kern w:val="0"/>
          <w:sz w:val="24"/>
        </w:rPr>
        <w:t>（8）类似业绩</w:t>
      </w:r>
    </w:p>
    <w:p>
      <w:pPr>
        <w:spacing w:line="360" w:lineRule="auto"/>
        <w:ind w:firstLine="480" w:firstLineChars="200"/>
        <w:jc w:val="left"/>
        <w:rPr>
          <w:color w:val="000000"/>
        </w:rPr>
      </w:pPr>
      <w:r>
        <w:rPr>
          <w:rFonts w:hint="eastAsia" w:ascii="宋体" w:hAnsi="宋体" w:cs="宋体"/>
          <w:color w:val="000000"/>
          <w:kern w:val="0"/>
          <w:sz w:val="24"/>
        </w:rPr>
        <w:t>（9）供应商认为需提供的其它资料</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投标文件应对招标文件规定的要求和条件作出实质性响应，如有漏项、重大偏离或显著保留，即视为废标；所有不完整的投标文件将被拒绝。</w:t>
      </w:r>
    </w:p>
    <w:p>
      <w:pPr>
        <w:widowControl/>
        <w:spacing w:before="156" w:beforeLines="50" w:after="156" w:afterLines="50"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三、投标</w:t>
      </w:r>
    </w:p>
    <w:p>
      <w:pPr>
        <w:widowControl/>
        <w:spacing w:line="360" w:lineRule="auto"/>
        <w:ind w:firstLine="420" w:firstLineChars="200"/>
        <w:jc w:val="left"/>
        <w:rPr>
          <w:rFonts w:ascii="宋体" w:hAnsi="宋体" w:cs="宋体"/>
          <w:b/>
          <w:bCs/>
          <w:color w:val="000000" w:themeColor="text1"/>
          <w:kern w:val="0"/>
          <w:sz w:val="24"/>
          <w14:textFill>
            <w14:solidFill>
              <w14:schemeClr w14:val="tx1"/>
            </w14:solidFill>
          </w14:textFill>
        </w:rPr>
      </w:pPr>
      <w:r>
        <w:fldChar w:fldCharType="begin"/>
      </w:r>
      <w:r>
        <w:instrText xml:space="preserve"> HYPERLINK "mailto:全部投标文件按《投标须知》中" </w:instrText>
      </w:r>
      <w:r>
        <w:fldChar w:fldCharType="separate"/>
      </w:r>
      <w:r>
        <w:rPr>
          <w:rStyle w:val="22"/>
          <w:rFonts w:hint="eastAsia" w:ascii="宋体" w:hAnsi="宋体" w:cs="宋体"/>
          <w:color w:val="000000" w:themeColor="text1"/>
          <w:kern w:val="0"/>
          <w:sz w:val="24"/>
          <w14:textFill>
            <w14:solidFill>
              <w14:schemeClr w14:val="tx1"/>
            </w14:solidFill>
          </w14:textFill>
        </w:rPr>
        <w:t>全部投标文件按《投标须知》中“投标文件的组成”的顺序成册，投标文件必须封装并加盖公章，并在封面上写明投标人名称。招标人不接受电报、电话、传真和电子邮件投标，投标书递交后不得修改，也不得撤标。</w:t>
      </w:r>
      <w:r>
        <w:rPr>
          <w:rStyle w:val="22"/>
          <w:rFonts w:hint="eastAsia" w:ascii="宋体" w:hAnsi="宋体" w:cs="宋体"/>
          <w:b/>
          <w:bCs/>
          <w:color w:val="000000" w:themeColor="text1"/>
          <w:kern w:val="0"/>
          <w:sz w:val="24"/>
          <w14:textFill>
            <w14:solidFill>
              <w14:schemeClr w14:val="tx1"/>
            </w14:solidFill>
          </w14:textFill>
        </w:rPr>
        <w:t>要求投标方报名截止前将参与投标项目信息（参与项目、投标单位名称、项目负责人、联系电话）发到指定邮箱（</w:t>
      </w:r>
      <w:r>
        <w:rPr>
          <w:rStyle w:val="22"/>
          <w:rFonts w:hint="eastAsia" w:ascii="宋体" w:hAnsi="宋体" w:cs="宋体"/>
          <w:color w:val="000000" w:themeColor="text1"/>
          <w:kern w:val="0"/>
          <w:sz w:val="24"/>
          <w14:textFill>
            <w14:solidFill>
              <w14:schemeClr w14:val="tx1"/>
            </w14:solidFill>
          </w14:textFill>
        </w:rPr>
        <w:t>zcglccg@126.com</w:t>
      </w:r>
      <w:r>
        <w:rPr>
          <w:rStyle w:val="22"/>
          <w:rFonts w:hint="eastAsia" w:ascii="宋体" w:hAnsi="宋体" w:cs="宋体"/>
          <w:b/>
          <w:bCs/>
          <w:color w:val="000000" w:themeColor="text1"/>
          <w:kern w:val="0"/>
          <w:sz w:val="24"/>
          <w14:textFill>
            <w14:solidFill>
              <w14:schemeClr w14:val="tx1"/>
            </w14:solidFill>
          </w14:textFill>
        </w:rPr>
        <w:t>），不接受现场报名。</w:t>
      </w:r>
      <w:r>
        <w:rPr>
          <w:rStyle w:val="22"/>
          <w:rFonts w:hint="eastAsia" w:ascii="宋体" w:hAnsi="宋体" w:cs="宋体"/>
          <w:b/>
          <w:bCs/>
          <w:color w:val="000000" w:themeColor="text1"/>
          <w:kern w:val="0"/>
          <w:sz w:val="24"/>
          <w14:textFill>
            <w14:solidFill>
              <w14:schemeClr w14:val="tx1"/>
            </w14:solidFill>
          </w14:textFill>
        </w:rPr>
        <w:fldChar w:fldCharType="end"/>
      </w:r>
    </w:p>
    <w:p>
      <w:pPr>
        <w:widowControl/>
        <w:spacing w:line="360" w:lineRule="auto"/>
        <w:ind w:firstLine="480" w:firstLineChars="200"/>
        <w:jc w:val="left"/>
        <w:rPr>
          <w:rFonts w:ascii="宋体" w:hAnsi="宋体" w:cs="宋体"/>
          <w:b/>
          <w:bCs/>
          <w:color w:val="000000"/>
          <w:kern w:val="0"/>
          <w:sz w:val="24"/>
        </w:rPr>
      </w:pPr>
      <w:r>
        <w:rPr>
          <w:rFonts w:hint="eastAsia" w:ascii="宋体" w:hAnsi="宋体" w:cs="宋体"/>
          <w:color w:val="000000"/>
          <w:kern w:val="0"/>
          <w:sz w:val="24"/>
        </w:rPr>
        <w:t>开标之日再来我院交标书，</w:t>
      </w:r>
      <w:r>
        <w:rPr>
          <w:rFonts w:hint="eastAsia" w:ascii="宋体" w:hAnsi="宋体" w:cs="宋体"/>
          <w:b/>
          <w:color w:val="000000"/>
          <w:kern w:val="0"/>
          <w:sz w:val="24"/>
        </w:rPr>
        <w:t>交标书时，要求纸质稿三份密封</w:t>
      </w:r>
      <w:r>
        <w:rPr>
          <w:rFonts w:hint="eastAsia" w:ascii="宋体" w:hAnsi="宋体" w:cs="宋体"/>
          <w:b/>
          <w:bCs/>
          <w:color w:val="000000"/>
          <w:kern w:val="0"/>
          <w:sz w:val="24"/>
        </w:rPr>
        <w:t>（一正二副）</w:t>
      </w:r>
      <w:r>
        <w:rPr>
          <w:rFonts w:hint="eastAsia" w:ascii="宋体" w:hAnsi="宋体" w:cs="宋体"/>
          <w:color w:val="000000"/>
          <w:kern w:val="0"/>
          <w:sz w:val="24"/>
        </w:rPr>
        <w:t>。</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四、开标和评标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将按《比选公告》中规定的时间和地点组织采购比选。采购比选将由我院招投标小组具体组织实施。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评标的基础是</w:t>
      </w:r>
      <w:r>
        <w:rPr>
          <w:rFonts w:hint="eastAsia" w:ascii="宋体" w:hAnsi="宋体" w:cs="宋体"/>
          <w:b/>
          <w:bCs/>
          <w:color w:val="000000"/>
          <w:kern w:val="0"/>
          <w:sz w:val="24"/>
        </w:rPr>
        <w:t>投标人的报价、服务方案、业绩、服务和承诺</w:t>
      </w:r>
      <w:r>
        <w:rPr>
          <w:rFonts w:hint="eastAsia" w:ascii="宋体" w:hAnsi="宋体" w:cs="宋体"/>
          <w:color w:val="000000"/>
          <w:kern w:val="0"/>
          <w:sz w:val="24"/>
        </w:rPr>
        <w:t>等。</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对投标文件中疑义或表达不清的内容，招标人有权要求投标人予以澄清。</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合同将授予符合招标文件及综合得分最高的投标人。</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招标人有权在签订合同时调整采购数量。</w:t>
      </w:r>
    </w:p>
    <w:p>
      <w:pPr>
        <w:widowControl/>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五、中标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1、中标结果公布</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（1）若评标顺利，将当场公布评标结果。</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（2）若不能立即评出结果，将在1天内通知中标单位。</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2、中标人出现下列行为之一者，其中标资格将被取消：</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（1）中标人与其他投标人串通进行投标的；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（2）中标人不能按中标要求签订合同的；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（3）中标人有其它损害招标人、采购人利益或社会公共利益的；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（4）中标人在规定时间内不与招标人签订合同的；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（5）中标人转让中标项目的；</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（6）中标人的中标资格被取消后，可按中标候选单位的排名顺序依次递补或重新招标。</w:t>
      </w:r>
    </w:p>
    <w:p>
      <w:pPr>
        <w:widowControl/>
        <w:spacing w:line="360" w:lineRule="auto"/>
        <w:ind w:firstLine="482" w:firstLineChars="200"/>
        <w:jc w:val="left"/>
        <w:rPr>
          <w:rFonts w:ascii="宋体" w:hAnsi="宋体" w:cs="宋体"/>
          <w:color w:val="000000"/>
          <w:kern w:val="0"/>
          <w:sz w:val="24"/>
        </w:rPr>
      </w:pPr>
      <w:r>
        <w:rPr>
          <w:rFonts w:hint="eastAsia" w:ascii="宋体" w:hAnsi="宋体" w:cs="宋体"/>
          <w:b/>
          <w:color w:val="000000"/>
          <w:kern w:val="0"/>
          <w:sz w:val="24"/>
        </w:rPr>
        <w:t>六、签订合同</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双方共同签订《</w:t>
      </w:r>
      <w:bookmarkStart w:id="6" w:name="_Hlk160810094"/>
      <w:r>
        <w:rPr>
          <w:rFonts w:hint="eastAsia" w:ascii="宋体" w:hAnsi="宋体" w:cs="宋体"/>
          <w:color w:val="000000"/>
          <w:kern w:val="0"/>
          <w:sz w:val="24"/>
        </w:rPr>
        <w:t>湖南化工职业技术学院</w:t>
      </w:r>
      <w:bookmarkEnd w:id="6"/>
      <w:r>
        <w:rPr>
          <w:rFonts w:hint="eastAsia" w:ascii="宋体" w:hAnsi="宋体" w:cs="宋体"/>
          <w:color w:val="000000"/>
          <w:kern w:val="0"/>
          <w:sz w:val="24"/>
        </w:rPr>
        <w:t>2024年实习实训及教学业务用车租赁服务采购项目合同书》。</w:t>
      </w:r>
      <w:r>
        <w:rPr>
          <w:rFonts w:hint="eastAsia" w:ascii="宋体" w:hAnsi="宋体" w:cs="宋体"/>
          <w:b/>
          <w:bCs/>
          <w:color w:val="000000"/>
          <w:kern w:val="0"/>
          <w:sz w:val="24"/>
        </w:rPr>
        <w:t>合同签订期限为一年</w:t>
      </w:r>
      <w:r>
        <w:rPr>
          <w:rFonts w:hint="eastAsia" w:ascii="宋体" w:hAnsi="宋体" w:cs="宋体"/>
          <w:color w:val="000000"/>
          <w:kern w:val="0"/>
          <w:sz w:val="24"/>
        </w:rPr>
        <w:t>。</w:t>
      </w:r>
    </w:p>
    <w:p>
      <w:pPr>
        <w:spacing w:line="360" w:lineRule="auto"/>
        <w:ind w:firstLine="482" w:firstLineChars="200"/>
        <w:rPr>
          <w:rFonts w:ascii="宋体" w:hAnsi="宋体" w:cs="宋体"/>
          <w:b/>
          <w:bCs/>
          <w:color w:val="000000"/>
          <w:kern w:val="0"/>
          <w:sz w:val="24"/>
        </w:rPr>
      </w:pPr>
      <w:r>
        <w:rPr>
          <w:rFonts w:hint="eastAsia" w:ascii="宋体" w:hAnsi="宋体" w:cs="宋体"/>
          <w:b/>
          <w:bCs/>
          <w:color w:val="000000"/>
          <w:sz w:val="24"/>
        </w:rPr>
        <w:t>七、供应商资格要求</w:t>
      </w:r>
      <w:r>
        <w:rPr>
          <w:rFonts w:hint="eastAsia" w:ascii="宋体" w:hAnsi="宋体" w:cs="宋体"/>
          <w:b/>
          <w:bCs/>
          <w:color w:val="000000"/>
          <w:kern w:val="0"/>
          <w:sz w:val="24"/>
        </w:rPr>
        <w:t xml:space="preserve"> </w:t>
      </w:r>
    </w:p>
    <w:p>
      <w:pPr>
        <w:widowControl/>
        <w:ind w:left="284"/>
        <w:rPr>
          <w:rFonts w:ascii="宋体" w:hAnsi="宋体" w:cs="宋体"/>
          <w:color w:val="000000"/>
          <w:kern w:val="0"/>
          <w:sz w:val="24"/>
        </w:rPr>
      </w:pPr>
      <w:r>
        <w:rPr>
          <w:rFonts w:hint="eastAsia" w:ascii="宋体" w:hAnsi="宋体" w:cs="宋体"/>
          <w:color w:val="000000"/>
          <w:kern w:val="0"/>
          <w:sz w:val="24"/>
        </w:rPr>
        <w:t>（一）基本资格条件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1、具有独立的法人资格和承担民事责任的能力；</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2、是工商部门注册的证件齐全的正规租赁公司，符合相关用车资质要求；提供的车辆必须是本公司注册车辆，保证设备完善、证件齐全、车况良好、运行安全可靠。所有租赁车辆必须都购买了相关保险，如交强险、责任险、座位险、乘客险等且保额不低于100万。</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3、社会信誉好，近三年无不良行为记录；</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4、近年来财务状况良好；</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5、提供报价车辆行驶证及相关保险证明资料复印件；</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6、提供报价车辆驾驶员驾照复印件，并提供近三个月的社保记录；</w:t>
      </w:r>
    </w:p>
    <w:p>
      <w:pPr>
        <w:widowControl/>
        <w:spacing w:line="360" w:lineRule="auto"/>
        <w:ind w:firstLine="480" w:firstLineChars="200"/>
        <w:jc w:val="left"/>
        <w:rPr>
          <w:rFonts w:ascii="宋体" w:hAnsi="宋体" w:cs="宋体"/>
          <w:b/>
          <w:bCs/>
          <w:color w:val="000000"/>
          <w:kern w:val="0"/>
          <w:sz w:val="24"/>
        </w:rPr>
      </w:pPr>
      <w:r>
        <w:rPr>
          <w:rFonts w:hint="eastAsia" w:ascii="宋体" w:hAnsi="宋体" w:cs="宋体"/>
          <w:color w:val="000000"/>
          <w:kern w:val="0"/>
          <w:sz w:val="24"/>
        </w:rPr>
        <w:t>7、</w:t>
      </w:r>
      <w:r>
        <w:rPr>
          <w:rFonts w:hint="eastAsia" w:ascii="宋体" w:hAnsi="宋体" w:cs="宋体"/>
          <w:b/>
          <w:bCs/>
          <w:color w:val="000000"/>
          <w:kern w:val="0"/>
          <w:sz w:val="24"/>
        </w:rPr>
        <w:t>已入驻湖南省财政厅政府采购电子卖场。</w:t>
      </w:r>
    </w:p>
    <w:p>
      <w:pPr>
        <w:widowControl/>
        <w:spacing w:line="360" w:lineRule="auto"/>
        <w:ind w:firstLine="480" w:firstLineChars="200"/>
        <w:jc w:val="left"/>
        <w:rPr>
          <w:rFonts w:ascii="宋体" w:hAnsi="宋体" w:cs="宋体"/>
          <w:b/>
          <w:bCs/>
          <w:color w:val="000000"/>
          <w:kern w:val="0"/>
          <w:sz w:val="24"/>
        </w:rPr>
      </w:pPr>
      <w:r>
        <w:rPr>
          <w:rFonts w:hint="eastAsia" w:ascii="宋体" w:hAnsi="宋体" w:cs="宋体"/>
          <w:color w:val="000000"/>
          <w:kern w:val="0"/>
          <w:sz w:val="24"/>
        </w:rPr>
        <w:t>8、本项目不接受联合体投标。</w:t>
      </w:r>
    </w:p>
    <w:p>
      <w:pPr>
        <w:widowControl/>
        <w:spacing w:before="156" w:beforeLines="50" w:after="156" w:afterLines="50" w:line="420" w:lineRule="exact"/>
        <w:ind w:firstLine="482" w:firstLineChars="200"/>
        <w:jc w:val="left"/>
        <w:rPr>
          <w:rFonts w:ascii="宋体" w:hAnsi="宋体" w:cs="宋体"/>
          <w:b/>
          <w:kern w:val="0"/>
          <w:sz w:val="24"/>
        </w:rPr>
      </w:pPr>
      <w:r>
        <w:rPr>
          <w:rFonts w:hint="eastAsia" w:ascii="宋体" w:hAnsi="宋体" w:cs="宋体"/>
          <w:b/>
          <w:color w:val="000000"/>
          <w:kern w:val="0"/>
          <w:sz w:val="24"/>
        </w:rPr>
        <w:t>八、</w:t>
      </w:r>
      <w:r>
        <w:rPr>
          <w:rFonts w:hint="eastAsia" w:ascii="宋体" w:hAnsi="宋体" w:cs="宋体"/>
          <w:b/>
          <w:kern w:val="0"/>
          <w:sz w:val="24"/>
        </w:rPr>
        <w:t>购置数量及其它要求</w:t>
      </w:r>
    </w:p>
    <w:p>
      <w:pPr>
        <w:widowControl/>
        <w:spacing w:before="20" w:after="20" w:line="360" w:lineRule="auto"/>
        <w:ind w:firstLine="480" w:firstLineChars="200"/>
        <w:rPr>
          <w:rFonts w:ascii="宋体" w:hAnsi="宋体" w:cs="宋体"/>
          <w:b/>
          <w:kern w:val="0"/>
          <w:sz w:val="24"/>
        </w:rPr>
      </w:pPr>
      <w:r>
        <w:rPr>
          <w:rFonts w:hint="eastAsia" w:ascii="宋体" w:hAnsi="宋体" w:cs="宋体"/>
          <w:kern w:val="0"/>
          <w:sz w:val="24"/>
        </w:rPr>
        <w:t>1、</w:t>
      </w:r>
      <w:r>
        <w:rPr>
          <w:rFonts w:hint="eastAsia" w:ascii="宋体" w:hAnsi="宋体" w:cs="宋体"/>
          <w:b/>
          <w:kern w:val="0"/>
          <w:sz w:val="24"/>
        </w:rPr>
        <w:t>项目内容</w:t>
      </w:r>
    </w:p>
    <w:p>
      <w:pPr>
        <w:widowControl/>
        <w:spacing w:line="360" w:lineRule="auto"/>
        <w:ind w:firstLine="480" w:firstLineChars="200"/>
        <w:jc w:val="left"/>
        <w:rPr>
          <w:rFonts w:ascii="宋体" w:hAnsi="宋体" w:cs="宋体"/>
          <w:color w:val="000000"/>
          <w:kern w:val="0"/>
          <w:sz w:val="24"/>
        </w:rPr>
      </w:pPr>
      <w:r>
        <w:rPr>
          <w:rFonts w:hint="eastAsia" w:ascii="宋体" w:hAnsi="宋体" w:cs="宋体"/>
          <w:color w:val="000000"/>
          <w:kern w:val="0"/>
          <w:sz w:val="24"/>
        </w:rPr>
        <w:t>主要用于校外实习实训，企业考察，在校内举行的业务培训。</w:t>
      </w:r>
    </w:p>
    <w:p>
      <w:pPr>
        <w:widowControl/>
        <w:spacing w:before="20" w:after="20" w:line="360" w:lineRule="auto"/>
        <w:ind w:firstLine="482" w:firstLineChars="200"/>
        <w:rPr>
          <w:rFonts w:ascii="宋体" w:hAnsi="宋体" w:cs="宋体"/>
          <w:b/>
          <w:kern w:val="0"/>
          <w:sz w:val="24"/>
        </w:rPr>
      </w:pPr>
      <w:r>
        <w:rPr>
          <w:rFonts w:hint="eastAsia" w:ascii="宋体" w:hAnsi="宋体" w:cs="宋体"/>
          <w:b/>
          <w:kern w:val="0"/>
          <w:sz w:val="24"/>
        </w:rPr>
        <w:t>2、报价要求</w:t>
      </w:r>
    </w:p>
    <w:p>
      <w:pPr>
        <w:adjustRightInd w:val="0"/>
        <w:snapToGrid w:val="0"/>
        <w:spacing w:before="20" w:after="20" w:line="360" w:lineRule="auto"/>
        <w:ind w:firstLine="480" w:firstLineChars="200"/>
        <w:rPr>
          <w:rFonts w:ascii="宋体" w:hAnsi="宋体" w:cs="宋体"/>
          <w:sz w:val="24"/>
        </w:rPr>
      </w:pPr>
      <w:r>
        <w:rPr>
          <w:rFonts w:hint="eastAsia" w:ascii="宋体" w:hAnsi="宋体" w:cs="宋体"/>
          <w:sz w:val="24"/>
        </w:rPr>
        <w:t>①、报价按附表中所列的车辆类型、属性，根据不同的起止点分项报价，其中固定目的地报价应包含燃油费、驾驶员人工费、过路过桥费、停车费、违章及安全责任等相关正常费用。日租则不包含上述费用中过路过桥费和停车费，其费用将按实收取。</w:t>
      </w:r>
      <w:r>
        <w:rPr>
          <w:rFonts w:hint="eastAsia" w:ascii="宋体" w:hAnsi="宋体" w:cs="宋体"/>
          <w:b/>
          <w:bCs/>
          <w:sz w:val="24"/>
        </w:rPr>
        <w:t>所有报价原则不得超过列表中的上限值</w:t>
      </w:r>
      <w:r>
        <w:rPr>
          <w:rFonts w:hint="eastAsia" w:ascii="宋体" w:hAnsi="宋体" w:cs="宋体"/>
          <w:sz w:val="24"/>
        </w:rPr>
        <w:t>。</w:t>
      </w:r>
    </w:p>
    <w:p>
      <w:pPr>
        <w:adjustRightInd w:val="0"/>
        <w:snapToGrid w:val="0"/>
        <w:spacing w:line="360" w:lineRule="auto"/>
        <w:ind w:firstLine="480" w:firstLineChars="200"/>
        <w:rPr>
          <w:rFonts w:ascii="宋体" w:hAnsi="宋体" w:cs="宋体"/>
          <w:sz w:val="24"/>
        </w:rPr>
      </w:pPr>
      <w:r>
        <w:rPr>
          <w:rFonts w:hint="eastAsia" w:ascii="宋体" w:hAnsi="宋体" w:cs="宋体"/>
          <w:sz w:val="24"/>
        </w:rPr>
        <w:t>②、若在行程过程中发生交通事故、车辆损坏造成采购方人身伤害或者财产损失，由租赁单位先行赔付。因发生不可抗力因素造成的任何意外、损失等，双方互不承担违规责任。</w:t>
      </w:r>
    </w:p>
    <w:p>
      <w:pPr>
        <w:spacing w:line="360" w:lineRule="auto"/>
        <w:ind w:firstLine="480"/>
        <w:rPr>
          <w:rFonts w:ascii="宋体" w:hAnsi="宋体" w:cs="宋体"/>
          <w:sz w:val="24"/>
        </w:rPr>
      </w:pPr>
      <w:r>
        <w:rPr>
          <w:rFonts w:hint="eastAsia" w:ascii="宋体" w:hAnsi="宋体" w:cs="宋体"/>
          <w:sz w:val="24"/>
        </w:rPr>
        <w:t>③、其他不在报价范围所发生的租赁活动或所列车型，中标方须承诺给予采购方最优惠的租赁价格。</w:t>
      </w:r>
    </w:p>
    <w:p>
      <w:pPr>
        <w:pStyle w:val="2"/>
        <w:rPr>
          <w:rFonts w:ascii="宋体" w:hAnsi="宋体" w:cs="宋体"/>
          <w:b w:val="0"/>
          <w:bCs w:val="0"/>
          <w:szCs w:val="24"/>
        </w:rPr>
      </w:pPr>
      <w:r>
        <w:rPr>
          <w:rFonts w:hint="eastAsia" w:ascii="宋体" w:hAnsi="宋体" w:cs="宋体"/>
        </w:rPr>
        <w:t xml:space="preserve">    </w:t>
      </w:r>
      <w:r>
        <w:rPr>
          <w:rFonts w:hint="eastAsia" w:ascii="宋体" w:hAnsi="宋体" w:cs="宋体"/>
          <w:b w:val="0"/>
          <w:bCs w:val="0"/>
          <w:szCs w:val="24"/>
        </w:rPr>
        <w:t>④、报价时提供车型的品牌，填写在车型一列中，如5座小轿车（大众迈腾）。</w:t>
      </w:r>
    </w:p>
    <w:p>
      <w:pPr>
        <w:pStyle w:val="15"/>
        <w:tabs>
          <w:tab w:val="left" w:pos="3420"/>
        </w:tabs>
        <w:ind w:left="0" w:leftChars="0" w:firstLine="0" w:firstLineChars="0"/>
        <w:rPr>
          <w:rFonts w:ascii="宋体" w:hAnsi="宋体" w:cs="宋体"/>
          <w:sz w:val="24"/>
        </w:rPr>
      </w:pPr>
      <w:r>
        <w:rPr>
          <w:rFonts w:hint="eastAsia" w:ascii="宋体" w:hAnsi="宋体" w:cs="宋体"/>
          <w:sz w:val="24"/>
        </w:rPr>
        <w:t xml:space="preserve">   </w:t>
      </w:r>
      <w:r>
        <w:rPr>
          <w:rFonts w:hint="eastAsia" w:ascii="Calibri" w:hAnsi="Calibri" w:cs="Calibri"/>
          <w:sz w:val="24"/>
        </w:rPr>
        <w:t xml:space="preserve">  </w:t>
      </w:r>
      <w:r>
        <w:rPr>
          <w:rFonts w:hint="eastAsia" w:ascii="宋体" w:hAnsi="宋体" w:cs="宋体"/>
          <w:sz w:val="24"/>
        </w:rPr>
        <w:t>⑤</w:t>
      </w:r>
      <w:r>
        <w:rPr>
          <w:rFonts w:hint="eastAsia" w:ascii="Calibri" w:hAnsi="Calibri" w:cs="Calibri"/>
          <w:sz w:val="24"/>
        </w:rPr>
        <w:t>、</w:t>
      </w:r>
      <w:r>
        <w:rPr>
          <w:rFonts w:hint="eastAsia" w:ascii="宋体" w:hAnsi="宋体" w:cs="宋体"/>
          <w:sz w:val="24"/>
        </w:rPr>
        <w:t>报价上限值：见下表。</w:t>
      </w:r>
    </w:p>
    <w:p/>
    <w:p>
      <w:pPr>
        <w:pStyle w:val="2"/>
      </w:pPr>
    </w:p>
    <w:p/>
    <w:p>
      <w:pPr>
        <w:jc w:val="center"/>
        <w:rPr>
          <w:rFonts w:ascii="华文中宋" w:hAnsi="华文中宋" w:eastAsia="华文中宋"/>
          <w:b/>
          <w:sz w:val="28"/>
          <w:szCs w:val="28"/>
        </w:rPr>
      </w:pPr>
      <w:r>
        <w:rPr>
          <w:rFonts w:hint="eastAsia" w:ascii="华文中宋" w:hAnsi="华文中宋" w:eastAsia="华文中宋"/>
          <w:b/>
          <w:sz w:val="28"/>
          <w:szCs w:val="28"/>
        </w:rPr>
        <w:t>报价上限值一览表</w:t>
      </w:r>
    </w:p>
    <w:tbl>
      <w:tblPr>
        <w:tblStyle w:val="16"/>
        <w:tblpPr w:leftFromText="180" w:rightFromText="180" w:vertAnchor="text" w:horzAnchor="page" w:tblpX="1187" w:tblpY="79"/>
        <w:tblOverlap w:val="never"/>
        <w:tblW w:w="535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3"/>
        <w:gridCol w:w="2004"/>
        <w:gridCol w:w="1677"/>
        <w:gridCol w:w="1268"/>
        <w:gridCol w:w="1471"/>
        <w:gridCol w:w="1363"/>
        <w:gridCol w:w="14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518" w:type="pct"/>
            <w:vMerge w:val="restart"/>
            <w:vAlign w:val="center"/>
          </w:tcPr>
          <w:p>
            <w:pPr>
              <w:jc w:val="center"/>
              <w:rPr>
                <w:rFonts w:ascii="仿宋_GB2312" w:hAnsi="宋体" w:eastAsia="仿宋_GB2312"/>
                <w:b/>
                <w:sz w:val="24"/>
              </w:rPr>
            </w:pPr>
            <w:r>
              <w:rPr>
                <w:rFonts w:hint="eastAsia" w:ascii="仿宋_GB2312" w:hAnsi="宋体" w:eastAsia="仿宋_GB2312"/>
                <w:b/>
                <w:sz w:val="24"/>
              </w:rPr>
              <w:t>属性</w:t>
            </w:r>
          </w:p>
        </w:tc>
        <w:tc>
          <w:tcPr>
            <w:tcW w:w="977" w:type="pct"/>
            <w:vMerge w:val="restart"/>
            <w:vAlign w:val="center"/>
          </w:tcPr>
          <w:p>
            <w:pPr>
              <w:jc w:val="center"/>
              <w:rPr>
                <w:rFonts w:ascii="仿宋_GB2312" w:hAnsi="宋体" w:eastAsia="仿宋_GB2312"/>
                <w:b/>
                <w:sz w:val="24"/>
              </w:rPr>
            </w:pPr>
            <w:r>
              <w:rPr>
                <w:rFonts w:hint="eastAsia" w:ascii="仿宋_GB2312" w:hAnsi="宋体" w:eastAsia="仿宋_GB2312"/>
                <w:b/>
                <w:sz w:val="24"/>
              </w:rPr>
              <w:t>目的地</w:t>
            </w:r>
          </w:p>
        </w:tc>
        <w:tc>
          <w:tcPr>
            <w:tcW w:w="3503" w:type="pct"/>
            <w:gridSpan w:val="5"/>
            <w:vAlign w:val="center"/>
          </w:tcPr>
          <w:p>
            <w:pPr>
              <w:jc w:val="center"/>
              <w:rPr>
                <w:rFonts w:ascii="仿宋_GB2312" w:hAnsi="宋体" w:eastAsia="仿宋_GB2312"/>
                <w:b/>
                <w:sz w:val="24"/>
              </w:rPr>
            </w:pPr>
            <w:r>
              <w:rPr>
                <w:rFonts w:hint="eastAsia" w:ascii="仿宋_GB2312" w:hAnsi="宋体" w:eastAsia="仿宋_GB2312"/>
                <w:b/>
                <w:sz w:val="24"/>
              </w:rPr>
              <w:t>车型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0" w:hRule="atLeast"/>
        </w:trPr>
        <w:tc>
          <w:tcPr>
            <w:tcW w:w="518" w:type="pct"/>
            <w:vMerge w:val="continue"/>
            <w:vAlign w:val="center"/>
          </w:tcPr>
          <w:p>
            <w:pPr>
              <w:jc w:val="center"/>
              <w:rPr>
                <w:rFonts w:ascii="仿宋_GB2312" w:hAnsi="宋体" w:eastAsia="仿宋_GB2312"/>
                <w:b/>
                <w:sz w:val="24"/>
              </w:rPr>
            </w:pPr>
          </w:p>
        </w:tc>
        <w:tc>
          <w:tcPr>
            <w:tcW w:w="977" w:type="pct"/>
            <w:vMerge w:val="continue"/>
            <w:vAlign w:val="center"/>
          </w:tcPr>
          <w:p>
            <w:pPr>
              <w:jc w:val="center"/>
              <w:rPr>
                <w:rFonts w:ascii="仿宋_GB2312" w:hAnsi="宋体" w:eastAsia="仿宋_GB2312"/>
                <w:b/>
                <w:sz w:val="24"/>
              </w:rPr>
            </w:pPr>
          </w:p>
        </w:tc>
        <w:tc>
          <w:tcPr>
            <w:tcW w:w="817" w:type="pct"/>
            <w:vAlign w:val="center"/>
          </w:tcPr>
          <w:p>
            <w:pPr>
              <w:jc w:val="center"/>
              <w:rPr>
                <w:rFonts w:ascii="仿宋_GB2312" w:hAnsi="宋体" w:eastAsia="仿宋_GB2312" w:cs="宋体"/>
                <w:b/>
                <w:color w:val="000000"/>
                <w:kern w:val="0"/>
                <w:sz w:val="24"/>
              </w:rPr>
            </w:pPr>
            <w:r>
              <w:rPr>
                <w:rFonts w:hint="eastAsia" w:ascii="仿宋_GB2312" w:hAnsi="宋体" w:eastAsia="仿宋_GB2312"/>
                <w:b/>
                <w:kern w:val="0"/>
                <w:sz w:val="24"/>
              </w:rPr>
              <w:t>5</w:t>
            </w:r>
            <w:r>
              <w:rPr>
                <w:rFonts w:hint="eastAsia" w:ascii="仿宋_GB2312" w:hAnsi="宋体" w:eastAsia="仿宋_GB2312" w:cs="宋体"/>
                <w:b/>
                <w:color w:val="000000"/>
                <w:kern w:val="0"/>
                <w:sz w:val="24"/>
              </w:rPr>
              <w:t>座小轿车</w:t>
            </w:r>
          </w:p>
          <w:p>
            <w:pPr>
              <w:jc w:val="center"/>
              <w:rPr>
                <w:rFonts w:ascii="仿宋_GB2312" w:hAnsi="宋体" w:eastAsia="仿宋_GB2312"/>
                <w:b/>
                <w:sz w:val="24"/>
              </w:rPr>
            </w:pPr>
            <w:r>
              <w:rPr>
                <w:rFonts w:hint="eastAsia" w:ascii="仿宋_GB2312" w:hAnsi="宋体" w:eastAsia="仿宋_GB2312" w:cs="宋体"/>
                <w:b/>
                <w:color w:val="000000"/>
                <w:kern w:val="0"/>
                <w:sz w:val="24"/>
              </w:rPr>
              <w:t>（B级车型）</w:t>
            </w:r>
          </w:p>
        </w:tc>
        <w:tc>
          <w:tcPr>
            <w:tcW w:w="618" w:type="pct"/>
            <w:vAlign w:val="center"/>
          </w:tcPr>
          <w:p>
            <w:pPr>
              <w:jc w:val="center"/>
              <w:rPr>
                <w:rFonts w:ascii="仿宋_GB2312" w:hAnsi="宋体" w:eastAsia="仿宋_GB2312"/>
                <w:b/>
                <w:kern w:val="0"/>
                <w:sz w:val="24"/>
              </w:rPr>
            </w:pPr>
            <w:r>
              <w:rPr>
                <w:rFonts w:hint="eastAsia" w:ascii="仿宋_GB2312" w:hAnsi="宋体" w:eastAsia="仿宋_GB2312"/>
                <w:b/>
                <w:kern w:val="0"/>
                <w:sz w:val="24"/>
              </w:rPr>
              <w:t>7座商务车</w:t>
            </w:r>
          </w:p>
        </w:tc>
        <w:tc>
          <w:tcPr>
            <w:tcW w:w="717" w:type="pct"/>
            <w:vAlign w:val="center"/>
          </w:tcPr>
          <w:p>
            <w:pPr>
              <w:jc w:val="center"/>
              <w:rPr>
                <w:rFonts w:ascii="仿宋_GB2312" w:hAnsi="宋体" w:eastAsia="仿宋_GB2312"/>
                <w:b/>
                <w:kern w:val="0"/>
                <w:sz w:val="24"/>
              </w:rPr>
            </w:pPr>
            <w:r>
              <w:rPr>
                <w:rFonts w:hint="eastAsia" w:ascii="仿宋_GB2312" w:hAnsi="宋体" w:eastAsia="仿宋_GB2312"/>
                <w:b/>
                <w:kern w:val="0"/>
                <w:sz w:val="24"/>
              </w:rPr>
              <w:t>8-21座客车</w:t>
            </w:r>
          </w:p>
        </w:tc>
        <w:tc>
          <w:tcPr>
            <w:tcW w:w="665" w:type="pct"/>
            <w:vAlign w:val="center"/>
          </w:tcPr>
          <w:p>
            <w:pPr>
              <w:jc w:val="center"/>
              <w:rPr>
                <w:rFonts w:ascii="仿宋_GB2312" w:hAnsi="宋体" w:eastAsia="仿宋_GB2312"/>
                <w:b/>
                <w:kern w:val="0"/>
                <w:sz w:val="24"/>
              </w:rPr>
            </w:pPr>
            <w:r>
              <w:rPr>
                <w:rFonts w:hint="eastAsia" w:ascii="仿宋_GB2312" w:hAnsi="宋体" w:eastAsia="仿宋_GB2312"/>
                <w:b/>
                <w:kern w:val="0"/>
                <w:sz w:val="24"/>
              </w:rPr>
              <w:t>22-39座客车</w:t>
            </w:r>
          </w:p>
        </w:tc>
        <w:tc>
          <w:tcPr>
            <w:tcW w:w="684" w:type="pct"/>
            <w:vAlign w:val="center"/>
          </w:tcPr>
          <w:p>
            <w:pPr>
              <w:jc w:val="center"/>
              <w:rPr>
                <w:rFonts w:ascii="仿宋_GB2312" w:hAnsi="宋体" w:eastAsia="仿宋_GB2312"/>
                <w:b/>
                <w:kern w:val="0"/>
                <w:sz w:val="24"/>
              </w:rPr>
            </w:pPr>
            <w:r>
              <w:rPr>
                <w:rFonts w:hint="eastAsia" w:ascii="仿宋_GB2312" w:hAnsi="宋体" w:eastAsia="仿宋_GB2312"/>
                <w:b/>
                <w:kern w:val="0"/>
                <w:sz w:val="24"/>
              </w:rPr>
              <w:t>40-50座客车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518" w:type="pct"/>
            <w:vAlign w:val="center"/>
          </w:tcPr>
          <w:p>
            <w:pPr>
              <w:jc w:val="center"/>
              <w:rPr>
                <w:rFonts w:ascii="仿宋_GB2312" w:hAnsi="宋体" w:eastAsia="仿宋_GB2312"/>
                <w:szCs w:val="21"/>
              </w:rPr>
            </w:pPr>
            <w:r>
              <w:rPr>
                <w:rFonts w:hint="eastAsia" w:ascii="仿宋_GB2312" w:hAnsi="宋体" w:eastAsia="仿宋_GB2312"/>
                <w:szCs w:val="21"/>
              </w:rPr>
              <w:t>固定</w:t>
            </w:r>
          </w:p>
          <w:p>
            <w:pPr>
              <w:jc w:val="center"/>
              <w:rPr>
                <w:rFonts w:ascii="仿宋_GB2312" w:hAnsi="宋体" w:eastAsia="仿宋_GB2312"/>
                <w:szCs w:val="21"/>
              </w:rPr>
            </w:pPr>
            <w:r>
              <w:rPr>
                <w:rFonts w:hint="eastAsia" w:ascii="仿宋_GB2312" w:hAnsi="宋体" w:eastAsia="仿宋_GB2312"/>
                <w:szCs w:val="21"/>
              </w:rPr>
              <w:t>目的地</w:t>
            </w:r>
          </w:p>
        </w:tc>
        <w:tc>
          <w:tcPr>
            <w:tcW w:w="977" w:type="pct"/>
            <w:vAlign w:val="center"/>
          </w:tcPr>
          <w:p>
            <w:pPr>
              <w:jc w:val="left"/>
              <w:rPr>
                <w:rFonts w:ascii="仿宋_GB2312" w:hAnsi="宋体" w:eastAsia="仿宋_GB2312"/>
                <w:kern w:val="0"/>
                <w:szCs w:val="21"/>
              </w:rPr>
            </w:pPr>
            <w:r>
              <w:rPr>
                <w:rFonts w:hint="eastAsia" w:ascii="仿宋_GB2312" w:hAnsi="宋体" w:eastAsia="仿宋_GB2312" w:cs="宋体"/>
                <w:color w:val="000000"/>
                <w:kern w:val="0"/>
                <w:szCs w:val="21"/>
              </w:rPr>
              <w:t>教育厅、黄花机场、长沙南站等地（40-55km）</w:t>
            </w:r>
          </w:p>
        </w:tc>
        <w:tc>
          <w:tcPr>
            <w:tcW w:w="817" w:type="pct"/>
            <w:vAlign w:val="center"/>
          </w:tcPr>
          <w:p>
            <w:pPr>
              <w:jc w:val="center"/>
              <w:rPr>
                <w:rFonts w:ascii="仿宋_GB2312" w:hAnsi="宋体" w:eastAsia="仿宋_GB2312"/>
                <w:kern w:val="0"/>
                <w:sz w:val="24"/>
              </w:rPr>
            </w:pPr>
            <w:r>
              <w:rPr>
                <w:rFonts w:hint="eastAsia" w:ascii="仿宋_GB2312" w:hAnsi="宋体" w:eastAsia="仿宋_GB2312"/>
                <w:kern w:val="0"/>
                <w:sz w:val="24"/>
              </w:rPr>
              <w:t>400元</w:t>
            </w:r>
          </w:p>
        </w:tc>
        <w:tc>
          <w:tcPr>
            <w:tcW w:w="618" w:type="pct"/>
            <w:vAlign w:val="center"/>
          </w:tcPr>
          <w:p>
            <w:pPr>
              <w:jc w:val="center"/>
              <w:rPr>
                <w:rFonts w:ascii="仿宋_GB2312" w:hAnsi="宋体" w:eastAsia="仿宋_GB2312"/>
                <w:kern w:val="0"/>
                <w:sz w:val="24"/>
              </w:rPr>
            </w:pPr>
            <w:r>
              <w:rPr>
                <w:rFonts w:hint="eastAsia" w:ascii="仿宋_GB2312" w:hAnsi="宋体" w:eastAsia="仿宋_GB2312"/>
                <w:kern w:val="0"/>
                <w:sz w:val="24"/>
              </w:rPr>
              <w:t>520元</w:t>
            </w:r>
          </w:p>
        </w:tc>
        <w:tc>
          <w:tcPr>
            <w:tcW w:w="717" w:type="pct"/>
            <w:vAlign w:val="center"/>
          </w:tcPr>
          <w:p>
            <w:pPr>
              <w:jc w:val="center"/>
              <w:rPr>
                <w:rFonts w:ascii="仿宋_GB2312" w:hAnsi="宋体" w:eastAsia="仿宋_GB2312" w:cs="宋体"/>
                <w:color w:val="000000"/>
                <w:kern w:val="0"/>
                <w:sz w:val="24"/>
              </w:rPr>
            </w:pPr>
            <w:r>
              <w:rPr>
                <w:rFonts w:hint="eastAsia" w:ascii="仿宋_GB2312" w:hAnsi="宋体" w:eastAsia="仿宋_GB2312"/>
                <w:kern w:val="0"/>
                <w:sz w:val="24"/>
              </w:rPr>
              <w:t>900元</w:t>
            </w:r>
          </w:p>
        </w:tc>
        <w:tc>
          <w:tcPr>
            <w:tcW w:w="665" w:type="pct"/>
            <w:vAlign w:val="center"/>
          </w:tcPr>
          <w:p>
            <w:pPr>
              <w:jc w:val="center"/>
              <w:rPr>
                <w:rFonts w:ascii="仿宋_GB2312" w:hAnsi="宋体" w:eastAsia="仿宋_GB2312"/>
                <w:sz w:val="24"/>
              </w:rPr>
            </w:pPr>
            <w:r>
              <w:rPr>
                <w:rFonts w:hint="eastAsia" w:ascii="仿宋_GB2312" w:hAnsi="宋体" w:eastAsia="仿宋_GB2312"/>
                <w:sz w:val="24"/>
              </w:rPr>
              <w:t>1000</w:t>
            </w:r>
            <w:r>
              <w:rPr>
                <w:rFonts w:hint="eastAsia" w:ascii="仿宋_GB2312" w:hAnsi="宋体" w:eastAsia="仿宋_GB2312"/>
                <w:kern w:val="0"/>
                <w:sz w:val="24"/>
              </w:rPr>
              <w:t>元</w:t>
            </w:r>
          </w:p>
        </w:tc>
        <w:tc>
          <w:tcPr>
            <w:tcW w:w="684" w:type="pct"/>
            <w:vAlign w:val="center"/>
          </w:tcPr>
          <w:p>
            <w:pPr>
              <w:jc w:val="center"/>
              <w:rPr>
                <w:rFonts w:ascii="仿宋_GB2312" w:hAnsi="宋体" w:eastAsia="仿宋_GB2312"/>
                <w:sz w:val="24"/>
              </w:rPr>
            </w:pPr>
            <w:r>
              <w:rPr>
                <w:rFonts w:hint="eastAsia" w:ascii="仿宋_GB2312" w:hAnsi="宋体" w:eastAsia="仿宋_GB2312"/>
                <w:sz w:val="24"/>
              </w:rPr>
              <w:t>1100</w:t>
            </w:r>
            <w:r>
              <w:rPr>
                <w:rFonts w:hint="eastAsia" w:ascii="仿宋_GB2312" w:hAnsi="宋体" w:eastAsia="仿宋_GB2312"/>
                <w:kern w:val="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trPr>
        <w:tc>
          <w:tcPr>
            <w:tcW w:w="518" w:type="pct"/>
            <w:vMerge w:val="restart"/>
            <w:vAlign w:val="center"/>
          </w:tcPr>
          <w:p>
            <w:pPr>
              <w:jc w:val="center"/>
              <w:rPr>
                <w:rFonts w:ascii="仿宋_GB2312" w:hAnsi="宋体" w:eastAsia="仿宋_GB2312"/>
                <w:szCs w:val="21"/>
              </w:rPr>
            </w:pPr>
            <w:r>
              <w:rPr>
                <w:rFonts w:hint="eastAsia" w:ascii="仿宋_GB2312" w:hAnsi="宋体" w:eastAsia="仿宋_GB2312"/>
                <w:szCs w:val="21"/>
              </w:rPr>
              <w:t>日租</w:t>
            </w:r>
          </w:p>
        </w:tc>
        <w:tc>
          <w:tcPr>
            <w:tcW w:w="977" w:type="pct"/>
            <w:vAlign w:val="center"/>
          </w:tcPr>
          <w:p>
            <w:pPr>
              <w:jc w:val="center"/>
              <w:rPr>
                <w:rFonts w:ascii="仿宋_GB2312" w:hAnsi="宋体" w:eastAsia="仿宋_GB2312"/>
                <w:szCs w:val="21"/>
              </w:rPr>
            </w:pPr>
            <w:r>
              <w:rPr>
                <w:rFonts w:hint="eastAsia" w:ascii="仿宋_GB2312" w:hAnsi="宋体" w:eastAsia="仿宋_GB2312"/>
                <w:szCs w:val="21"/>
              </w:rPr>
              <w:t>半日租价格</w:t>
            </w:r>
          </w:p>
          <w:p>
            <w:pPr>
              <w:jc w:val="center"/>
              <w:rPr>
                <w:rFonts w:ascii="仿宋_GB2312" w:hAnsi="宋体" w:eastAsia="仿宋_GB2312"/>
                <w:szCs w:val="21"/>
              </w:rPr>
            </w:pPr>
            <w:r>
              <w:rPr>
                <w:rFonts w:hint="eastAsia" w:ascii="仿宋_GB2312" w:hAnsi="宋体" w:eastAsia="仿宋_GB2312"/>
                <w:szCs w:val="21"/>
              </w:rPr>
              <w:t>（4小时、75km）</w:t>
            </w:r>
          </w:p>
        </w:tc>
        <w:tc>
          <w:tcPr>
            <w:tcW w:w="817" w:type="pct"/>
            <w:vAlign w:val="center"/>
          </w:tcPr>
          <w:p>
            <w:pPr>
              <w:jc w:val="center"/>
              <w:rPr>
                <w:rFonts w:ascii="仿宋_GB2312" w:hAnsi="宋体" w:eastAsia="仿宋_GB2312"/>
                <w:sz w:val="24"/>
              </w:rPr>
            </w:pPr>
            <w:r>
              <w:rPr>
                <w:rFonts w:hint="eastAsia" w:ascii="仿宋_GB2312" w:hAnsi="宋体" w:eastAsia="仿宋_GB2312"/>
                <w:sz w:val="24"/>
              </w:rPr>
              <w:t>260</w:t>
            </w:r>
            <w:r>
              <w:rPr>
                <w:rFonts w:hint="eastAsia" w:ascii="仿宋_GB2312" w:hAnsi="宋体" w:eastAsia="仿宋_GB2312"/>
                <w:kern w:val="0"/>
                <w:sz w:val="24"/>
              </w:rPr>
              <w:t>元</w:t>
            </w:r>
          </w:p>
        </w:tc>
        <w:tc>
          <w:tcPr>
            <w:tcW w:w="618" w:type="pct"/>
            <w:vAlign w:val="center"/>
          </w:tcPr>
          <w:p>
            <w:pPr>
              <w:jc w:val="center"/>
              <w:rPr>
                <w:rFonts w:ascii="仿宋_GB2312" w:hAnsi="宋体" w:eastAsia="仿宋_GB2312"/>
                <w:sz w:val="24"/>
              </w:rPr>
            </w:pPr>
            <w:r>
              <w:rPr>
                <w:rFonts w:hint="eastAsia" w:ascii="仿宋_GB2312" w:hAnsi="宋体" w:eastAsia="仿宋_GB2312"/>
                <w:kern w:val="0"/>
                <w:sz w:val="24"/>
              </w:rPr>
              <w:t>400元</w:t>
            </w:r>
          </w:p>
        </w:tc>
        <w:tc>
          <w:tcPr>
            <w:tcW w:w="717" w:type="pct"/>
            <w:vAlign w:val="center"/>
          </w:tcPr>
          <w:p>
            <w:pPr>
              <w:jc w:val="center"/>
              <w:rPr>
                <w:rFonts w:ascii="仿宋_GB2312" w:hAnsi="宋体" w:eastAsia="仿宋_GB2312"/>
                <w:sz w:val="24"/>
              </w:rPr>
            </w:pPr>
            <w:r>
              <w:rPr>
                <w:rFonts w:hint="eastAsia" w:ascii="仿宋_GB2312" w:hAnsi="宋体" w:eastAsia="仿宋_GB2312"/>
                <w:sz w:val="24"/>
              </w:rPr>
              <w:t>650</w:t>
            </w:r>
            <w:r>
              <w:rPr>
                <w:rFonts w:hint="eastAsia" w:ascii="仿宋_GB2312" w:hAnsi="宋体" w:eastAsia="仿宋_GB2312"/>
                <w:kern w:val="0"/>
                <w:sz w:val="24"/>
              </w:rPr>
              <w:t>元</w:t>
            </w:r>
          </w:p>
        </w:tc>
        <w:tc>
          <w:tcPr>
            <w:tcW w:w="665" w:type="pct"/>
            <w:vAlign w:val="center"/>
          </w:tcPr>
          <w:p>
            <w:pPr>
              <w:jc w:val="center"/>
              <w:rPr>
                <w:rFonts w:ascii="仿宋_GB2312" w:hAnsi="宋体" w:eastAsia="仿宋_GB2312"/>
                <w:sz w:val="24"/>
              </w:rPr>
            </w:pPr>
            <w:r>
              <w:rPr>
                <w:rFonts w:hint="eastAsia" w:ascii="仿宋_GB2312" w:hAnsi="宋体" w:eastAsia="仿宋_GB2312"/>
                <w:kern w:val="0"/>
                <w:sz w:val="24"/>
              </w:rPr>
              <w:t>700元</w:t>
            </w:r>
          </w:p>
        </w:tc>
        <w:tc>
          <w:tcPr>
            <w:tcW w:w="684" w:type="pct"/>
            <w:vAlign w:val="center"/>
          </w:tcPr>
          <w:p>
            <w:pPr>
              <w:jc w:val="center"/>
              <w:rPr>
                <w:rFonts w:ascii="仿宋_GB2312" w:hAnsi="宋体" w:eastAsia="仿宋_GB2312"/>
                <w:sz w:val="24"/>
              </w:rPr>
            </w:pPr>
            <w:r>
              <w:rPr>
                <w:rFonts w:hint="eastAsia" w:ascii="仿宋_GB2312" w:hAnsi="宋体" w:eastAsia="仿宋_GB2312"/>
                <w:kern w:val="0"/>
                <w:sz w:val="24"/>
              </w:rPr>
              <w:t>750元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518" w:type="pct"/>
            <w:vMerge w:val="continue"/>
            <w:vAlign w:val="center"/>
          </w:tcPr>
          <w:p>
            <w:pPr>
              <w:jc w:val="center"/>
              <w:rPr>
                <w:rFonts w:ascii="仿宋_GB2312" w:hAnsi="宋体" w:eastAsia="仿宋_GB2312"/>
                <w:szCs w:val="21"/>
              </w:rPr>
            </w:pPr>
          </w:p>
        </w:tc>
        <w:tc>
          <w:tcPr>
            <w:tcW w:w="977" w:type="pct"/>
            <w:vAlign w:val="center"/>
          </w:tcPr>
          <w:p>
            <w:pPr>
              <w:jc w:val="center"/>
              <w:rPr>
                <w:rFonts w:ascii="仿宋_GB2312" w:hAnsi="宋体" w:eastAsia="仿宋_GB2312"/>
                <w:szCs w:val="21"/>
              </w:rPr>
            </w:pPr>
            <w:r>
              <w:rPr>
                <w:rFonts w:hint="eastAsia" w:ascii="仿宋_GB2312" w:hAnsi="宋体" w:eastAsia="仿宋_GB2312"/>
                <w:szCs w:val="21"/>
              </w:rPr>
              <w:t>日租价格</w:t>
            </w:r>
          </w:p>
          <w:p>
            <w:pPr>
              <w:rPr>
                <w:rFonts w:ascii="仿宋_GB2312" w:hAnsi="宋体" w:eastAsia="仿宋_GB2312"/>
                <w:szCs w:val="21"/>
              </w:rPr>
            </w:pPr>
            <w:r>
              <w:rPr>
                <w:rFonts w:hint="eastAsia" w:ascii="仿宋_GB2312" w:hAnsi="宋体" w:eastAsia="仿宋_GB2312"/>
                <w:szCs w:val="21"/>
              </w:rPr>
              <w:t>（8小时、150km）</w:t>
            </w:r>
          </w:p>
        </w:tc>
        <w:tc>
          <w:tcPr>
            <w:tcW w:w="817" w:type="pct"/>
            <w:vAlign w:val="center"/>
          </w:tcPr>
          <w:p>
            <w:pPr>
              <w:jc w:val="center"/>
              <w:rPr>
                <w:rFonts w:ascii="仿宋_GB2312" w:hAnsi="宋体" w:eastAsia="仿宋_GB2312"/>
                <w:sz w:val="24"/>
              </w:rPr>
            </w:pPr>
            <w:r>
              <w:rPr>
                <w:rFonts w:hint="eastAsia" w:ascii="仿宋_GB2312" w:hAnsi="宋体" w:eastAsia="仿宋_GB2312"/>
                <w:sz w:val="24"/>
              </w:rPr>
              <w:t>520</w:t>
            </w:r>
            <w:r>
              <w:rPr>
                <w:rFonts w:hint="eastAsia" w:ascii="仿宋_GB2312" w:hAnsi="宋体" w:eastAsia="仿宋_GB2312"/>
                <w:kern w:val="0"/>
                <w:sz w:val="24"/>
              </w:rPr>
              <w:t>元</w:t>
            </w:r>
          </w:p>
        </w:tc>
        <w:tc>
          <w:tcPr>
            <w:tcW w:w="618" w:type="pct"/>
            <w:vAlign w:val="center"/>
          </w:tcPr>
          <w:p>
            <w:pPr>
              <w:jc w:val="center"/>
              <w:rPr>
                <w:rFonts w:ascii="仿宋_GB2312" w:hAnsi="宋体" w:eastAsia="仿宋_GB2312"/>
                <w:sz w:val="24"/>
              </w:rPr>
            </w:pPr>
            <w:r>
              <w:rPr>
                <w:rFonts w:hint="eastAsia" w:ascii="仿宋_GB2312" w:hAnsi="宋体" w:eastAsia="仿宋_GB2312"/>
                <w:sz w:val="24"/>
              </w:rPr>
              <w:t>800</w:t>
            </w:r>
            <w:r>
              <w:rPr>
                <w:rFonts w:hint="eastAsia" w:ascii="仿宋_GB2312" w:hAnsi="宋体" w:eastAsia="仿宋_GB2312"/>
                <w:kern w:val="0"/>
                <w:sz w:val="24"/>
              </w:rPr>
              <w:t>元</w:t>
            </w:r>
          </w:p>
        </w:tc>
        <w:tc>
          <w:tcPr>
            <w:tcW w:w="717" w:type="pct"/>
            <w:vAlign w:val="center"/>
          </w:tcPr>
          <w:p>
            <w:pPr>
              <w:jc w:val="center"/>
              <w:rPr>
                <w:rFonts w:ascii="仿宋_GB2312" w:hAnsi="宋体" w:eastAsia="仿宋_GB2312"/>
                <w:sz w:val="24"/>
              </w:rPr>
            </w:pPr>
            <w:r>
              <w:rPr>
                <w:rFonts w:hint="eastAsia" w:ascii="仿宋_GB2312" w:hAnsi="宋体" w:eastAsia="仿宋_GB2312"/>
                <w:sz w:val="24"/>
              </w:rPr>
              <w:t>1300</w:t>
            </w:r>
            <w:r>
              <w:rPr>
                <w:rFonts w:hint="eastAsia" w:ascii="仿宋_GB2312" w:hAnsi="宋体" w:eastAsia="仿宋_GB2312"/>
                <w:kern w:val="0"/>
                <w:sz w:val="24"/>
              </w:rPr>
              <w:t>元</w:t>
            </w:r>
          </w:p>
        </w:tc>
        <w:tc>
          <w:tcPr>
            <w:tcW w:w="665" w:type="pct"/>
            <w:vAlign w:val="center"/>
          </w:tcPr>
          <w:p>
            <w:pPr>
              <w:jc w:val="center"/>
              <w:rPr>
                <w:rFonts w:ascii="仿宋_GB2312" w:hAnsi="宋体" w:eastAsia="仿宋_GB2312"/>
                <w:sz w:val="24"/>
              </w:rPr>
            </w:pPr>
            <w:r>
              <w:rPr>
                <w:rFonts w:hint="eastAsia" w:ascii="仿宋_GB2312" w:hAnsi="宋体" w:eastAsia="仿宋_GB2312"/>
                <w:sz w:val="24"/>
              </w:rPr>
              <w:t>1400</w:t>
            </w:r>
            <w:r>
              <w:rPr>
                <w:rFonts w:hint="eastAsia" w:ascii="仿宋_GB2312" w:hAnsi="宋体" w:eastAsia="仿宋_GB2312"/>
                <w:kern w:val="0"/>
                <w:sz w:val="24"/>
              </w:rPr>
              <w:t>元</w:t>
            </w:r>
          </w:p>
        </w:tc>
        <w:tc>
          <w:tcPr>
            <w:tcW w:w="684" w:type="pct"/>
            <w:vAlign w:val="center"/>
          </w:tcPr>
          <w:p>
            <w:pPr>
              <w:jc w:val="center"/>
              <w:rPr>
                <w:rFonts w:ascii="仿宋_GB2312" w:hAnsi="宋体" w:eastAsia="仿宋_GB2312"/>
                <w:sz w:val="24"/>
              </w:rPr>
            </w:pPr>
            <w:r>
              <w:rPr>
                <w:rFonts w:hint="eastAsia" w:ascii="仿宋_GB2312" w:hAnsi="宋体" w:eastAsia="仿宋_GB2312"/>
                <w:sz w:val="24"/>
              </w:rPr>
              <w:t>1500</w:t>
            </w:r>
            <w:r>
              <w:rPr>
                <w:rFonts w:hint="eastAsia" w:ascii="仿宋_GB2312" w:hAnsi="宋体" w:eastAsia="仿宋_GB2312"/>
                <w:kern w:val="0"/>
                <w:sz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518" w:type="pct"/>
            <w:vMerge w:val="continue"/>
            <w:vAlign w:val="center"/>
          </w:tcPr>
          <w:p>
            <w:pPr>
              <w:jc w:val="center"/>
              <w:rPr>
                <w:rFonts w:ascii="仿宋_GB2312" w:hAnsi="宋体" w:eastAsia="仿宋_GB2312"/>
                <w:szCs w:val="21"/>
              </w:rPr>
            </w:pPr>
          </w:p>
        </w:tc>
        <w:tc>
          <w:tcPr>
            <w:tcW w:w="977" w:type="pct"/>
            <w:vAlign w:val="center"/>
          </w:tcPr>
          <w:p>
            <w:pPr>
              <w:jc w:val="center"/>
              <w:rPr>
                <w:rFonts w:ascii="仿宋_GB2312" w:hAnsi="宋体" w:eastAsia="仿宋_GB2312"/>
                <w:szCs w:val="21"/>
              </w:rPr>
            </w:pPr>
            <w:r>
              <w:rPr>
                <w:rFonts w:hint="eastAsia" w:ascii="仿宋_GB2312" w:hAnsi="宋体" w:eastAsia="仿宋_GB2312"/>
                <w:szCs w:val="21"/>
              </w:rPr>
              <w:t>超150KM里程收费</w:t>
            </w:r>
          </w:p>
          <w:p>
            <w:pPr>
              <w:jc w:val="center"/>
              <w:rPr>
                <w:rFonts w:ascii="仿宋_GB2312" w:hAnsi="宋体" w:eastAsia="仿宋_GB2312"/>
                <w:szCs w:val="21"/>
              </w:rPr>
            </w:pPr>
            <w:r>
              <w:rPr>
                <w:rFonts w:hint="eastAsia" w:ascii="仿宋_GB2312" w:hAnsi="宋体" w:eastAsia="仿宋_GB2312"/>
                <w:szCs w:val="21"/>
              </w:rPr>
              <w:t>（元/公里）</w:t>
            </w:r>
          </w:p>
        </w:tc>
        <w:tc>
          <w:tcPr>
            <w:tcW w:w="817" w:type="pct"/>
            <w:vAlign w:val="center"/>
          </w:tcPr>
          <w:p>
            <w:pPr>
              <w:jc w:val="center"/>
              <w:rPr>
                <w:rFonts w:ascii="仿宋_GB2312" w:hAnsi="宋体" w:eastAsia="仿宋_GB2312"/>
                <w:sz w:val="24"/>
              </w:rPr>
            </w:pPr>
            <w:r>
              <w:rPr>
                <w:rFonts w:hint="eastAsia" w:ascii="仿宋_GB2312" w:hAnsi="宋体" w:eastAsia="仿宋_GB2312"/>
                <w:sz w:val="24"/>
              </w:rPr>
              <w:t>2元</w:t>
            </w:r>
          </w:p>
        </w:tc>
        <w:tc>
          <w:tcPr>
            <w:tcW w:w="618" w:type="pct"/>
            <w:vAlign w:val="center"/>
          </w:tcPr>
          <w:p>
            <w:pPr>
              <w:jc w:val="center"/>
              <w:rPr>
                <w:rFonts w:ascii="仿宋_GB2312" w:hAnsi="宋体" w:eastAsia="仿宋_GB2312"/>
                <w:sz w:val="24"/>
              </w:rPr>
            </w:pPr>
            <w:r>
              <w:rPr>
                <w:rFonts w:hint="eastAsia" w:ascii="仿宋_GB2312" w:hAnsi="宋体" w:eastAsia="仿宋_GB2312"/>
                <w:sz w:val="24"/>
              </w:rPr>
              <w:t>3元</w:t>
            </w:r>
          </w:p>
        </w:tc>
        <w:tc>
          <w:tcPr>
            <w:tcW w:w="717" w:type="pct"/>
            <w:vAlign w:val="center"/>
          </w:tcPr>
          <w:p>
            <w:pPr>
              <w:jc w:val="center"/>
              <w:rPr>
                <w:rFonts w:ascii="仿宋_GB2312" w:hAnsi="宋体" w:eastAsia="仿宋_GB2312"/>
                <w:sz w:val="24"/>
              </w:rPr>
            </w:pPr>
            <w:r>
              <w:rPr>
                <w:rFonts w:hint="eastAsia" w:ascii="仿宋_GB2312" w:hAnsi="宋体" w:eastAsia="仿宋_GB2312"/>
                <w:sz w:val="24"/>
              </w:rPr>
              <w:t>4元</w:t>
            </w:r>
          </w:p>
        </w:tc>
        <w:tc>
          <w:tcPr>
            <w:tcW w:w="665" w:type="pct"/>
            <w:vAlign w:val="center"/>
          </w:tcPr>
          <w:p>
            <w:pPr>
              <w:jc w:val="center"/>
              <w:rPr>
                <w:rFonts w:ascii="仿宋_GB2312" w:hAnsi="宋体" w:eastAsia="仿宋_GB2312"/>
                <w:sz w:val="24"/>
              </w:rPr>
            </w:pPr>
            <w:r>
              <w:rPr>
                <w:rFonts w:hint="eastAsia" w:ascii="仿宋_GB2312" w:hAnsi="宋体" w:eastAsia="仿宋_GB2312"/>
                <w:sz w:val="24"/>
              </w:rPr>
              <w:t>5元</w:t>
            </w:r>
          </w:p>
        </w:tc>
        <w:tc>
          <w:tcPr>
            <w:tcW w:w="684" w:type="pct"/>
            <w:vAlign w:val="center"/>
          </w:tcPr>
          <w:p>
            <w:pPr>
              <w:jc w:val="center"/>
              <w:rPr>
                <w:rFonts w:ascii="仿宋_GB2312" w:hAnsi="宋体" w:eastAsia="仿宋_GB2312"/>
                <w:sz w:val="24"/>
              </w:rPr>
            </w:pPr>
            <w:r>
              <w:rPr>
                <w:rFonts w:hint="eastAsia" w:ascii="仿宋_GB2312" w:hAnsi="宋体" w:eastAsia="仿宋_GB2312"/>
                <w:sz w:val="24"/>
              </w:rPr>
              <w:t>6元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18" w:type="pct"/>
            <w:vMerge w:val="continue"/>
            <w:vAlign w:val="center"/>
          </w:tcPr>
          <w:p>
            <w:pPr>
              <w:jc w:val="center"/>
              <w:rPr>
                <w:rFonts w:ascii="仿宋_GB2312" w:hAnsi="宋体" w:eastAsia="仿宋_GB2312"/>
                <w:szCs w:val="21"/>
              </w:rPr>
            </w:pPr>
          </w:p>
        </w:tc>
        <w:tc>
          <w:tcPr>
            <w:tcW w:w="977" w:type="pct"/>
            <w:vAlign w:val="center"/>
          </w:tcPr>
          <w:p>
            <w:pPr>
              <w:jc w:val="center"/>
              <w:rPr>
                <w:rFonts w:ascii="仿宋_GB2312" w:hAnsi="宋体" w:eastAsia="仿宋_GB2312"/>
                <w:szCs w:val="21"/>
              </w:rPr>
            </w:pPr>
            <w:r>
              <w:rPr>
                <w:rFonts w:hint="eastAsia" w:ascii="仿宋_GB2312" w:hAnsi="宋体" w:eastAsia="仿宋_GB2312"/>
                <w:szCs w:val="21"/>
              </w:rPr>
              <w:t>超8小时后收费</w:t>
            </w:r>
          </w:p>
          <w:p>
            <w:pPr>
              <w:jc w:val="center"/>
              <w:rPr>
                <w:rFonts w:ascii="仿宋_GB2312" w:hAnsi="宋体" w:eastAsia="仿宋_GB2312"/>
                <w:szCs w:val="21"/>
              </w:rPr>
            </w:pPr>
            <w:r>
              <w:rPr>
                <w:rFonts w:hint="eastAsia" w:ascii="仿宋_GB2312" w:hAnsi="宋体" w:eastAsia="仿宋_GB2312"/>
                <w:szCs w:val="21"/>
              </w:rPr>
              <w:t>（元/小时）</w:t>
            </w:r>
          </w:p>
        </w:tc>
        <w:tc>
          <w:tcPr>
            <w:tcW w:w="817" w:type="pct"/>
            <w:vAlign w:val="center"/>
          </w:tcPr>
          <w:p>
            <w:pPr>
              <w:jc w:val="center"/>
              <w:rPr>
                <w:rFonts w:ascii="仿宋_GB2312" w:hAnsi="宋体" w:eastAsia="仿宋_GB2312"/>
                <w:sz w:val="24"/>
              </w:rPr>
            </w:pPr>
            <w:r>
              <w:rPr>
                <w:rFonts w:hint="eastAsia" w:ascii="仿宋_GB2312" w:hAnsi="宋体" w:eastAsia="仿宋_GB2312"/>
                <w:sz w:val="24"/>
              </w:rPr>
              <w:t>20</w:t>
            </w:r>
            <w:r>
              <w:rPr>
                <w:rFonts w:hint="eastAsia" w:ascii="仿宋_GB2312" w:hAnsi="宋体" w:eastAsia="仿宋_GB2312"/>
                <w:kern w:val="0"/>
                <w:sz w:val="24"/>
              </w:rPr>
              <w:t>元</w:t>
            </w:r>
          </w:p>
        </w:tc>
        <w:tc>
          <w:tcPr>
            <w:tcW w:w="618" w:type="pct"/>
            <w:vAlign w:val="center"/>
          </w:tcPr>
          <w:p>
            <w:pPr>
              <w:jc w:val="center"/>
              <w:rPr>
                <w:rFonts w:ascii="仿宋_GB2312" w:hAnsi="宋体" w:eastAsia="仿宋_GB2312"/>
                <w:sz w:val="24"/>
              </w:rPr>
            </w:pPr>
            <w:r>
              <w:rPr>
                <w:rFonts w:hint="eastAsia" w:ascii="仿宋_GB2312" w:hAnsi="宋体" w:eastAsia="仿宋_GB2312"/>
                <w:sz w:val="24"/>
              </w:rPr>
              <w:t>20</w:t>
            </w:r>
            <w:r>
              <w:rPr>
                <w:rFonts w:hint="eastAsia" w:ascii="仿宋_GB2312" w:hAnsi="宋体" w:eastAsia="仿宋_GB2312"/>
                <w:kern w:val="0"/>
                <w:sz w:val="24"/>
              </w:rPr>
              <w:t>元</w:t>
            </w:r>
          </w:p>
        </w:tc>
        <w:tc>
          <w:tcPr>
            <w:tcW w:w="717" w:type="pct"/>
            <w:vAlign w:val="center"/>
          </w:tcPr>
          <w:p>
            <w:pPr>
              <w:jc w:val="center"/>
              <w:rPr>
                <w:rFonts w:ascii="仿宋_GB2312" w:hAnsi="宋体" w:eastAsia="仿宋_GB2312"/>
                <w:sz w:val="24"/>
              </w:rPr>
            </w:pPr>
            <w:r>
              <w:rPr>
                <w:rFonts w:hint="eastAsia" w:ascii="仿宋_GB2312" w:hAnsi="宋体" w:eastAsia="仿宋_GB2312"/>
                <w:sz w:val="24"/>
              </w:rPr>
              <w:t>30</w:t>
            </w:r>
            <w:r>
              <w:rPr>
                <w:rFonts w:hint="eastAsia" w:ascii="仿宋_GB2312" w:hAnsi="宋体" w:eastAsia="仿宋_GB2312"/>
                <w:kern w:val="0"/>
                <w:sz w:val="24"/>
              </w:rPr>
              <w:t>元</w:t>
            </w:r>
          </w:p>
        </w:tc>
        <w:tc>
          <w:tcPr>
            <w:tcW w:w="665" w:type="pct"/>
            <w:vAlign w:val="center"/>
          </w:tcPr>
          <w:p>
            <w:pPr>
              <w:jc w:val="center"/>
              <w:rPr>
                <w:rFonts w:ascii="仿宋_GB2312" w:hAnsi="宋体" w:eastAsia="仿宋_GB2312"/>
                <w:sz w:val="24"/>
              </w:rPr>
            </w:pPr>
            <w:r>
              <w:rPr>
                <w:rFonts w:hint="eastAsia" w:ascii="仿宋_GB2312" w:hAnsi="宋体" w:eastAsia="仿宋_GB2312"/>
                <w:sz w:val="24"/>
              </w:rPr>
              <w:t>30</w:t>
            </w:r>
            <w:r>
              <w:rPr>
                <w:rFonts w:hint="eastAsia" w:ascii="仿宋_GB2312" w:hAnsi="宋体" w:eastAsia="仿宋_GB2312"/>
                <w:kern w:val="0"/>
                <w:sz w:val="24"/>
              </w:rPr>
              <w:t>元</w:t>
            </w:r>
          </w:p>
        </w:tc>
        <w:tc>
          <w:tcPr>
            <w:tcW w:w="684" w:type="pct"/>
            <w:vAlign w:val="center"/>
          </w:tcPr>
          <w:p>
            <w:pPr>
              <w:jc w:val="center"/>
              <w:rPr>
                <w:rFonts w:ascii="仿宋_GB2312" w:hAnsi="宋体" w:eastAsia="仿宋_GB2312"/>
                <w:sz w:val="24"/>
              </w:rPr>
            </w:pPr>
            <w:r>
              <w:rPr>
                <w:rFonts w:hint="eastAsia" w:ascii="仿宋_GB2312" w:hAnsi="宋体" w:eastAsia="仿宋_GB2312"/>
                <w:sz w:val="24"/>
              </w:rPr>
              <w:t>30</w:t>
            </w:r>
            <w:r>
              <w:rPr>
                <w:rFonts w:hint="eastAsia" w:ascii="仿宋_GB2312" w:hAnsi="宋体" w:eastAsia="仿宋_GB2312"/>
                <w:kern w:val="0"/>
                <w:sz w:val="24"/>
              </w:rPr>
              <w:t>元</w:t>
            </w:r>
          </w:p>
        </w:tc>
      </w:tr>
    </w:tbl>
    <w:p>
      <w:pPr>
        <w:pStyle w:val="6"/>
        <w:spacing w:after="0"/>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说明：</w:t>
      </w:r>
    </w:p>
    <w:p>
      <w:pPr>
        <w:pStyle w:val="6"/>
        <w:numPr>
          <w:ilvl w:val="0"/>
          <w:numId w:val="3"/>
        </w:numPr>
        <w:spacing w:after="0"/>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报价表中起点或终点都以我校职教城位置为基础。</w:t>
      </w:r>
      <w:r>
        <w:rPr>
          <w:rFonts w:hint="eastAsia" w:ascii="仿宋_GB2312" w:hAnsi="仿宋_GB2312" w:eastAsia="仿宋_GB2312" w:cs="仿宋_GB2312"/>
          <w:sz w:val="24"/>
        </w:rPr>
        <w:t>其中固定目的地报价应包含燃油费、驾驶员人工费、过路过桥费、停车费、违章及安全责任等相关正常费用。日租则不包含上述费用中过路过桥费和停车费，此两项费用将按实收取。</w:t>
      </w:r>
    </w:p>
    <w:p>
      <w:pPr>
        <w:pStyle w:val="6"/>
        <w:numPr>
          <w:ilvl w:val="0"/>
          <w:numId w:val="3"/>
        </w:numPr>
        <w:spacing w:after="0"/>
        <w:rPr>
          <w:rFonts w:ascii="仿宋_GB2312" w:hAnsi="仿宋_GB2312" w:eastAsia="仿宋_GB2312" w:cs="仿宋_GB2312"/>
          <w:snapToGrid w:val="0"/>
          <w:color w:val="000000"/>
          <w:kern w:val="0"/>
          <w:sz w:val="24"/>
        </w:rPr>
      </w:pPr>
      <w:r>
        <w:rPr>
          <w:rFonts w:hint="eastAsia" w:ascii="仿宋_GB2312" w:hAnsi="仿宋_GB2312" w:eastAsia="仿宋_GB2312" w:cs="仿宋_GB2312"/>
          <w:snapToGrid w:val="0"/>
          <w:color w:val="000000"/>
          <w:kern w:val="0"/>
          <w:sz w:val="24"/>
        </w:rPr>
        <w:t>用车时长不超过5小时且行驶公里不超过75KM按4小时(半天)收费；超过5小时或超过75KM按8小时(全天)收费；</w:t>
      </w:r>
      <w:r>
        <w:rPr>
          <w:rFonts w:hint="eastAsia" w:ascii="仿宋_GB2312" w:hAnsi="仿宋_GB2312" w:eastAsia="仿宋_GB2312" w:cs="仿宋_GB2312"/>
          <w:spacing w:val="21"/>
          <w:sz w:val="24"/>
        </w:rPr>
        <w:t>超过8小时或超过</w:t>
      </w:r>
      <w:r>
        <w:rPr>
          <w:rFonts w:hint="eastAsia" w:ascii="仿宋_GB2312" w:hAnsi="仿宋_GB2312" w:eastAsia="仿宋_GB2312" w:cs="仿宋_GB2312"/>
          <w:spacing w:val="6"/>
          <w:sz w:val="24"/>
        </w:rPr>
        <w:t>150</w:t>
      </w:r>
      <w:r>
        <w:rPr>
          <w:rFonts w:hint="eastAsia" w:ascii="仿宋_GB2312" w:hAnsi="仿宋_GB2312" w:eastAsia="仿宋_GB2312" w:cs="仿宋_GB2312"/>
          <w:sz w:val="24"/>
        </w:rPr>
        <w:t>KM</w:t>
      </w:r>
      <w:r>
        <w:rPr>
          <w:rFonts w:hint="eastAsia" w:ascii="仿宋_GB2312" w:hAnsi="仿宋_GB2312" w:eastAsia="仿宋_GB2312" w:cs="仿宋_GB2312"/>
          <w:spacing w:val="6"/>
          <w:sz w:val="24"/>
        </w:rPr>
        <w:t>在日租价格基础上加收超时或超里程收费。</w:t>
      </w:r>
    </w:p>
    <w:p>
      <w:pPr>
        <w:pStyle w:val="6"/>
        <w:numPr>
          <w:ilvl w:val="0"/>
          <w:numId w:val="3"/>
        </w:numPr>
        <w:spacing w:after="0"/>
        <w:rPr>
          <w:rFonts w:ascii="宋体" w:hAnsi="宋体" w:eastAsia="仿宋_GB2312" w:cs="宋体"/>
          <w:sz w:val="24"/>
        </w:rPr>
      </w:pPr>
      <w:r>
        <w:rPr>
          <w:rFonts w:hint="eastAsia" w:ascii="仿宋_GB2312" w:hAnsi="仿宋_GB2312" w:eastAsia="仿宋_GB2312" w:cs="仿宋_GB2312"/>
          <w:snapToGrid w:val="0"/>
          <w:color w:val="000000"/>
          <w:kern w:val="0"/>
          <w:sz w:val="24"/>
        </w:rPr>
        <w:t>跨日租赁的，</w:t>
      </w:r>
      <w:r>
        <w:rPr>
          <w:rFonts w:hint="eastAsia" w:ascii="仿宋_GB2312" w:hAnsi="仿宋_GB2312" w:eastAsia="仿宋_GB2312" w:cs="仿宋_GB2312"/>
          <w:sz w:val="24"/>
        </w:rPr>
        <w:t>住宿费由采购方支付。</w:t>
      </w:r>
      <w:r>
        <w:rPr>
          <w:rFonts w:hint="eastAsia" w:ascii="仿宋_GB2312" w:hAnsi="仿宋_GB2312" w:eastAsia="仿宋_GB2312" w:cs="仿宋_GB2312"/>
          <w:snapToGrid w:val="0"/>
          <w:color w:val="000000"/>
          <w:kern w:val="0"/>
          <w:sz w:val="24"/>
        </w:rPr>
        <w:t>里程按租赁期的平均值计算，超时计费只考虑回程当天情况。</w:t>
      </w:r>
    </w:p>
    <w:p>
      <w:pPr>
        <w:pStyle w:val="6"/>
        <w:numPr>
          <w:ilvl w:val="0"/>
          <w:numId w:val="3"/>
        </w:numPr>
        <w:spacing w:after="0"/>
        <w:rPr>
          <w:rFonts w:ascii="宋体" w:hAnsi="宋体" w:eastAsia="仿宋_GB2312" w:cs="宋体"/>
          <w:sz w:val="24"/>
          <w:highlight w:val="green"/>
        </w:rPr>
      </w:pPr>
      <w:r>
        <w:rPr>
          <w:rFonts w:hint="eastAsia" w:ascii="宋体" w:hAnsi="宋体" w:eastAsia="仿宋_GB2312" w:cs="宋体"/>
          <w:sz w:val="24"/>
          <w:highlight w:val="green"/>
        </w:rPr>
        <w:t>针对株洲市内用车的情况，采购方有权在合同期内选择第三方公交车出行。</w:t>
      </w:r>
    </w:p>
    <w:p>
      <w:pPr>
        <w:widowControl/>
        <w:spacing w:before="20" w:after="20" w:line="360" w:lineRule="auto"/>
        <w:ind w:firstLine="482" w:firstLineChars="200"/>
        <w:rPr>
          <w:rFonts w:ascii="宋体" w:hAnsi="宋体" w:cs="宋体"/>
          <w:b/>
          <w:kern w:val="0"/>
          <w:sz w:val="24"/>
        </w:rPr>
      </w:pPr>
      <w:r>
        <w:rPr>
          <w:rFonts w:hint="eastAsia" w:ascii="宋体" w:hAnsi="宋体" w:cs="宋体"/>
          <w:b/>
          <w:kern w:val="0"/>
          <w:sz w:val="24"/>
        </w:rPr>
        <w:t>3、服务要求、质量和标准</w:t>
      </w:r>
    </w:p>
    <w:p>
      <w:pPr>
        <w:adjustRightInd w:val="0"/>
        <w:snapToGrid w:val="0"/>
        <w:spacing w:before="20" w:after="20" w:line="360" w:lineRule="auto"/>
        <w:ind w:firstLine="480" w:firstLineChars="200"/>
        <w:rPr>
          <w:rFonts w:ascii="宋体" w:hAnsi="宋体" w:cs="宋体"/>
          <w:sz w:val="24"/>
        </w:rPr>
      </w:pPr>
      <w:r>
        <w:rPr>
          <w:rFonts w:hint="eastAsia" w:ascii="宋体" w:hAnsi="宋体" w:cs="宋体"/>
          <w:sz w:val="24"/>
        </w:rPr>
        <w:t>①、对车辆的要求：安全保障、数量足够、车型齐全、准点准时，所使用的车辆从挂牌之日计算，运营时间不得超过5年（2019年1月以后购买的车辆，以行驶证上的日期为准）。</w:t>
      </w:r>
    </w:p>
    <w:p>
      <w:pPr>
        <w:adjustRightInd w:val="0"/>
        <w:snapToGrid w:val="0"/>
        <w:spacing w:before="20" w:after="20" w:line="360" w:lineRule="auto"/>
        <w:ind w:firstLine="480" w:firstLineChars="200"/>
        <w:rPr>
          <w:rFonts w:ascii="宋体" w:hAnsi="宋体" w:cs="宋体"/>
          <w:sz w:val="24"/>
        </w:rPr>
      </w:pPr>
      <w:r>
        <w:rPr>
          <w:rFonts w:hint="eastAsia" w:ascii="宋体" w:hAnsi="宋体" w:cs="宋体"/>
          <w:sz w:val="24"/>
        </w:rPr>
        <w:t>②、需具备5座小轿车（B级车型）、7座商务车、18-21座客车，22-39座客车，40-50座客车等车型。</w:t>
      </w:r>
    </w:p>
    <w:p>
      <w:pPr>
        <w:adjustRightInd w:val="0"/>
        <w:snapToGrid w:val="0"/>
        <w:spacing w:before="20" w:after="20" w:line="360" w:lineRule="auto"/>
        <w:ind w:firstLine="480" w:firstLineChars="200"/>
        <w:rPr>
          <w:rFonts w:ascii="宋体" w:hAnsi="宋体" w:cs="宋体"/>
          <w:sz w:val="24"/>
        </w:rPr>
      </w:pPr>
      <w:r>
        <w:rPr>
          <w:rFonts w:hint="eastAsia" w:ascii="宋体" w:hAnsi="宋体" w:cs="宋体"/>
          <w:sz w:val="24"/>
        </w:rPr>
        <w:t>③、租赁公司在全年度内无重大安全责任事故，驾驶员无犯罪记录和重大交通事故责任记录。</w:t>
      </w:r>
    </w:p>
    <w:p>
      <w:pPr>
        <w:adjustRightInd w:val="0"/>
        <w:snapToGrid w:val="0"/>
        <w:spacing w:before="20" w:after="20" w:line="360" w:lineRule="auto"/>
        <w:ind w:firstLine="480" w:firstLineChars="200"/>
        <w:rPr>
          <w:rFonts w:ascii="宋体" w:hAnsi="宋体" w:cs="宋体"/>
          <w:sz w:val="24"/>
        </w:rPr>
      </w:pPr>
      <w:r>
        <w:rPr>
          <w:rFonts w:hint="eastAsia" w:ascii="宋体" w:hAnsi="宋体" w:cs="宋体"/>
          <w:sz w:val="24"/>
        </w:rPr>
        <w:t>④、车辆来源：租车公司自有车辆（提供行驶证）、合作车辆（提供合作协议及行驶证）、调配的车辆（提供车辆行使证）。</w:t>
      </w:r>
    </w:p>
    <w:p>
      <w:pPr>
        <w:adjustRightInd w:val="0"/>
        <w:snapToGrid w:val="0"/>
        <w:spacing w:before="20" w:after="20" w:line="360" w:lineRule="auto"/>
        <w:ind w:firstLine="480" w:firstLineChars="200"/>
        <w:rPr>
          <w:rFonts w:ascii="宋体" w:hAnsi="宋体" w:cs="宋体"/>
          <w:sz w:val="24"/>
        </w:rPr>
      </w:pPr>
      <w:r>
        <w:rPr>
          <w:rFonts w:hint="eastAsia" w:ascii="宋体" w:hAnsi="宋体" w:cs="宋体"/>
          <w:sz w:val="24"/>
        </w:rPr>
        <w:t>⑤、驾驶员为公司专职员工，要求持有相应驾照上岗，确保能够符合履行职责所需的标准。</w:t>
      </w:r>
    </w:p>
    <w:p>
      <w:pPr>
        <w:adjustRightInd w:val="0"/>
        <w:snapToGrid w:val="0"/>
        <w:spacing w:before="20" w:after="20" w:line="360" w:lineRule="auto"/>
        <w:ind w:firstLine="480" w:firstLineChars="200"/>
        <w:rPr>
          <w:rFonts w:ascii="宋体" w:hAnsi="宋体" w:cs="宋体"/>
          <w:sz w:val="24"/>
        </w:rPr>
      </w:pPr>
      <w:r>
        <w:rPr>
          <w:rFonts w:hint="eastAsia" w:ascii="宋体" w:hAnsi="宋体" w:cs="宋体"/>
          <w:sz w:val="24"/>
        </w:rPr>
        <w:t>⑥、中标方配合采购方调度，采购方每次用车前，以电话方式告知租赁公司，租赁公司及时为采购方安排相应的车辆。</w:t>
      </w:r>
    </w:p>
    <w:p>
      <w:pPr>
        <w:adjustRightInd w:val="0"/>
        <w:snapToGrid w:val="0"/>
        <w:spacing w:before="20" w:after="20" w:line="360" w:lineRule="auto"/>
        <w:ind w:firstLine="480" w:firstLineChars="200"/>
        <w:rPr>
          <w:rFonts w:ascii="宋体" w:hAnsi="宋体" w:cs="宋体"/>
          <w:sz w:val="24"/>
        </w:rPr>
      </w:pPr>
      <w:r>
        <w:rPr>
          <w:rFonts w:hint="eastAsia" w:ascii="宋体" w:hAnsi="宋体" w:cs="宋体"/>
          <w:sz w:val="24"/>
        </w:rPr>
        <w:t>⑦、服务响应：中标方应在0.5小时内按照采购方需求，提供合适的车辆，如租赁公司未按时提供车辆，造成后果由租赁公司承担。</w:t>
      </w:r>
    </w:p>
    <w:p>
      <w:pPr>
        <w:adjustRightInd w:val="0"/>
        <w:snapToGrid w:val="0"/>
        <w:spacing w:before="20" w:after="20" w:line="360" w:lineRule="auto"/>
        <w:ind w:firstLine="482" w:firstLineChars="200"/>
        <w:rPr>
          <w:rFonts w:ascii="宋体" w:hAnsi="宋体" w:cs="宋体"/>
          <w:b/>
          <w:color w:val="auto"/>
          <w:kern w:val="0"/>
          <w:sz w:val="24"/>
        </w:rPr>
      </w:pPr>
      <w:r>
        <w:rPr>
          <w:rFonts w:hint="eastAsia" w:ascii="宋体" w:hAnsi="宋体" w:cs="宋体"/>
          <w:b/>
          <w:color w:val="auto"/>
          <w:kern w:val="0"/>
          <w:sz w:val="24"/>
        </w:rPr>
        <w:t>4、结算及付款方式</w:t>
      </w:r>
    </w:p>
    <w:p>
      <w:pPr>
        <w:adjustRightInd w:val="0"/>
        <w:snapToGrid w:val="0"/>
        <w:spacing w:before="20" w:after="20" w:line="360" w:lineRule="auto"/>
        <w:ind w:firstLine="480" w:firstLineChars="200"/>
        <w:rPr>
          <w:rFonts w:ascii="宋体" w:hAnsi="宋体" w:cs="宋体"/>
          <w:color w:val="auto"/>
          <w:sz w:val="24"/>
        </w:rPr>
      </w:pPr>
      <w:r>
        <w:rPr>
          <w:rFonts w:hint="eastAsia" w:ascii="宋体" w:hAnsi="宋体" w:cs="宋体"/>
          <w:color w:val="auto"/>
          <w:sz w:val="24"/>
        </w:rPr>
        <w:t>结算方式：按实际发生趟次进行结算。</w:t>
      </w:r>
    </w:p>
    <w:p>
      <w:pPr>
        <w:adjustRightInd w:val="0"/>
        <w:snapToGrid w:val="0"/>
        <w:spacing w:before="20" w:after="20" w:line="360" w:lineRule="auto"/>
        <w:ind w:firstLine="480" w:firstLineChars="200"/>
        <w:rPr>
          <w:rFonts w:ascii="宋体" w:hAnsi="宋体" w:cs="宋体"/>
          <w:color w:val="auto"/>
          <w:sz w:val="24"/>
        </w:rPr>
      </w:pPr>
      <w:r>
        <w:rPr>
          <w:rFonts w:hint="eastAsia" w:ascii="宋体" w:hAnsi="宋体" w:cs="宋体"/>
          <w:color w:val="auto"/>
          <w:sz w:val="24"/>
        </w:rPr>
        <w:t>付款方式：双方签订合同生效日起，校方每学期与租赁公司结算一次，中标单位需提供与付款额相等的真实有效的含税发票给校方。具体按合同中的付款条款执行。</w:t>
      </w:r>
    </w:p>
    <w:p>
      <w:pPr>
        <w:widowControl/>
        <w:spacing w:before="20" w:after="20" w:line="360" w:lineRule="auto"/>
        <w:rPr>
          <w:rFonts w:ascii="宋体" w:hAnsi="宋体" w:cs="宋体"/>
          <w:b/>
          <w:kern w:val="0"/>
          <w:sz w:val="24"/>
        </w:rPr>
      </w:pPr>
    </w:p>
    <w:p>
      <w:pPr>
        <w:adjustRightInd w:val="0"/>
        <w:snapToGrid w:val="0"/>
        <w:spacing w:before="20" w:after="20" w:line="360" w:lineRule="auto"/>
        <w:ind w:firstLine="482" w:firstLineChars="200"/>
        <w:rPr>
          <w:b/>
          <w:bCs/>
        </w:rPr>
      </w:pPr>
      <w:r>
        <w:rPr>
          <w:rFonts w:hint="eastAsia" w:ascii="宋体" w:hAnsi="宋体" w:cs="宋体"/>
          <w:b/>
          <w:bCs/>
          <w:sz w:val="24"/>
        </w:rPr>
        <w:t>对于上述项目要求，供应商应在投标文件中进行回应，作出承诺及说明。</w:t>
      </w:r>
    </w:p>
    <w:p/>
    <w:p>
      <w:pPr>
        <w:widowControl/>
        <w:spacing w:line="375" w:lineRule="atLeast"/>
        <w:jc w:val="left"/>
        <w:rPr>
          <w:rFonts w:ascii="黑体" w:hAnsi="黑体" w:eastAsia="黑体" w:cs="黑体"/>
          <w:b/>
          <w:color w:val="000000"/>
          <w:kern w:val="0"/>
          <w:sz w:val="24"/>
        </w:rPr>
      </w:pPr>
    </w:p>
    <w:p>
      <w:pPr>
        <w:pStyle w:val="15"/>
        <w:ind w:firstLine="482"/>
        <w:rPr>
          <w:rFonts w:ascii="黑体" w:hAnsi="黑体" w:eastAsia="黑体" w:cs="黑体"/>
          <w:b/>
          <w:color w:val="000000"/>
          <w:kern w:val="0"/>
          <w:sz w:val="24"/>
        </w:rPr>
      </w:pPr>
    </w:p>
    <w:p>
      <w:pPr>
        <w:rPr>
          <w:rFonts w:ascii="黑体" w:hAnsi="黑体" w:eastAsia="黑体" w:cs="黑体"/>
          <w:b/>
          <w:color w:val="000000"/>
          <w:kern w:val="0"/>
          <w:sz w:val="24"/>
        </w:rPr>
      </w:pPr>
    </w:p>
    <w:p>
      <w:pPr>
        <w:pStyle w:val="15"/>
        <w:ind w:firstLine="482"/>
        <w:rPr>
          <w:rFonts w:ascii="黑体" w:hAnsi="黑体" w:eastAsia="黑体" w:cs="黑体"/>
          <w:b/>
          <w:color w:val="000000"/>
          <w:kern w:val="0"/>
          <w:sz w:val="24"/>
        </w:rPr>
      </w:pPr>
    </w:p>
    <w:p>
      <w:pPr>
        <w:rPr>
          <w:rFonts w:ascii="黑体" w:hAnsi="黑体" w:eastAsia="黑体" w:cs="黑体"/>
          <w:b/>
          <w:color w:val="000000"/>
          <w:kern w:val="0"/>
          <w:sz w:val="24"/>
        </w:rPr>
      </w:pPr>
    </w:p>
    <w:p>
      <w:pPr>
        <w:pStyle w:val="15"/>
        <w:ind w:firstLine="482"/>
        <w:rPr>
          <w:rFonts w:ascii="黑体" w:hAnsi="黑体" w:eastAsia="黑体" w:cs="黑体"/>
          <w:b/>
          <w:color w:val="000000"/>
          <w:kern w:val="0"/>
          <w:sz w:val="24"/>
        </w:rPr>
      </w:pPr>
    </w:p>
    <w:p>
      <w:pPr>
        <w:rPr>
          <w:rFonts w:ascii="黑体" w:hAnsi="黑体" w:eastAsia="黑体" w:cs="黑体"/>
          <w:b/>
          <w:color w:val="000000"/>
          <w:kern w:val="0"/>
          <w:sz w:val="24"/>
        </w:rPr>
      </w:pPr>
    </w:p>
    <w:p>
      <w:pPr>
        <w:pStyle w:val="15"/>
        <w:ind w:firstLine="482"/>
        <w:rPr>
          <w:rFonts w:ascii="黑体" w:hAnsi="黑体" w:eastAsia="黑体" w:cs="黑体"/>
          <w:b/>
          <w:color w:val="000000"/>
          <w:kern w:val="0"/>
          <w:sz w:val="24"/>
        </w:rPr>
      </w:pPr>
    </w:p>
    <w:p>
      <w:pPr>
        <w:rPr>
          <w:rFonts w:ascii="黑体" w:hAnsi="黑体" w:eastAsia="黑体" w:cs="黑体"/>
          <w:b/>
          <w:color w:val="000000"/>
          <w:kern w:val="0"/>
          <w:sz w:val="24"/>
        </w:rPr>
      </w:pPr>
    </w:p>
    <w:p>
      <w:pPr>
        <w:pStyle w:val="15"/>
        <w:ind w:firstLine="482"/>
        <w:rPr>
          <w:rFonts w:ascii="黑体" w:hAnsi="黑体" w:eastAsia="黑体" w:cs="黑体"/>
          <w:b/>
          <w:color w:val="000000"/>
          <w:kern w:val="0"/>
          <w:sz w:val="24"/>
        </w:rPr>
      </w:pPr>
    </w:p>
    <w:p>
      <w:pPr>
        <w:rPr>
          <w:rFonts w:ascii="黑体" w:hAnsi="黑体" w:eastAsia="黑体" w:cs="黑体"/>
          <w:b/>
          <w:color w:val="000000"/>
          <w:kern w:val="0"/>
          <w:sz w:val="24"/>
        </w:rPr>
      </w:pPr>
    </w:p>
    <w:p>
      <w:pPr>
        <w:pStyle w:val="15"/>
        <w:ind w:firstLine="482"/>
        <w:rPr>
          <w:rFonts w:ascii="黑体" w:hAnsi="黑体" w:eastAsia="黑体" w:cs="黑体"/>
          <w:b/>
          <w:color w:val="000000"/>
          <w:kern w:val="0"/>
          <w:sz w:val="24"/>
        </w:rPr>
      </w:pPr>
    </w:p>
    <w:p>
      <w:pPr>
        <w:rPr>
          <w:rFonts w:ascii="黑体" w:hAnsi="黑体" w:eastAsia="黑体" w:cs="黑体"/>
          <w:b/>
          <w:color w:val="000000"/>
          <w:kern w:val="0"/>
          <w:sz w:val="24"/>
        </w:rPr>
      </w:pPr>
    </w:p>
    <w:p>
      <w:pPr>
        <w:pStyle w:val="2"/>
        <w:rPr>
          <w:rFonts w:ascii="黑体" w:hAnsi="黑体" w:eastAsia="黑体" w:cs="黑体"/>
          <w:color w:val="000000"/>
          <w:kern w:val="0"/>
        </w:rPr>
      </w:pPr>
    </w:p>
    <w:p>
      <w:pPr>
        <w:rPr>
          <w:rFonts w:ascii="黑体" w:hAnsi="黑体" w:eastAsia="黑体" w:cs="黑体"/>
          <w:b/>
          <w:color w:val="000000"/>
          <w:kern w:val="0"/>
          <w:sz w:val="24"/>
        </w:rPr>
      </w:pPr>
    </w:p>
    <w:p>
      <w:pPr>
        <w:pStyle w:val="2"/>
        <w:rPr>
          <w:rFonts w:ascii="黑体" w:hAnsi="黑体" w:eastAsia="黑体" w:cs="黑体"/>
          <w:color w:val="000000"/>
          <w:kern w:val="0"/>
        </w:rPr>
      </w:pPr>
    </w:p>
    <w:p>
      <w:pPr>
        <w:rPr>
          <w:rFonts w:ascii="黑体" w:hAnsi="黑体" w:eastAsia="黑体" w:cs="黑体"/>
          <w:b/>
          <w:color w:val="000000"/>
          <w:kern w:val="0"/>
          <w:sz w:val="24"/>
        </w:rPr>
      </w:pPr>
    </w:p>
    <w:p>
      <w:pPr>
        <w:pStyle w:val="2"/>
        <w:rPr>
          <w:rFonts w:ascii="黑体" w:hAnsi="黑体" w:eastAsia="黑体" w:cs="黑体"/>
          <w:color w:val="000000"/>
          <w:kern w:val="0"/>
        </w:rPr>
      </w:pPr>
    </w:p>
    <w:p/>
    <w:p>
      <w:pPr>
        <w:pStyle w:val="15"/>
        <w:ind w:firstLine="482"/>
        <w:rPr>
          <w:rFonts w:ascii="黑体" w:hAnsi="黑体" w:eastAsia="黑体" w:cs="黑体"/>
          <w:b/>
          <w:color w:val="000000"/>
          <w:kern w:val="0"/>
          <w:sz w:val="24"/>
        </w:rPr>
      </w:pPr>
    </w:p>
    <w:p>
      <w:pPr>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p>
    <w:p>
      <w:pPr>
        <w:widowControl/>
        <w:spacing w:line="375" w:lineRule="atLeast"/>
        <w:jc w:val="left"/>
        <w:rPr>
          <w:rFonts w:ascii="黑体" w:hAnsi="黑体" w:eastAsia="黑体" w:cs="黑体"/>
          <w:b/>
          <w:color w:val="000000"/>
          <w:kern w:val="0"/>
          <w:sz w:val="24"/>
        </w:rPr>
      </w:pPr>
      <w:r>
        <w:rPr>
          <w:rFonts w:hint="eastAsia" w:ascii="黑体" w:hAnsi="黑体" w:eastAsia="黑体" w:cs="黑体"/>
          <w:b/>
          <w:color w:val="000000"/>
          <w:kern w:val="0"/>
          <w:sz w:val="24"/>
        </w:rPr>
        <w:t>附件1</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湖南化工职业技术学院</w:t>
      </w:r>
    </w:p>
    <w:p>
      <w:pPr>
        <w:widowControl/>
        <w:spacing w:line="440" w:lineRule="atLeast"/>
        <w:jc w:val="center"/>
        <w:rPr>
          <w:rFonts w:ascii="微软雅黑" w:hAnsi="微软雅黑" w:eastAsia="微软雅黑" w:cs="微软雅黑"/>
          <w:b/>
          <w:color w:val="000000"/>
          <w:kern w:val="0"/>
          <w:sz w:val="28"/>
          <w:szCs w:val="28"/>
        </w:rPr>
      </w:pPr>
      <w:r>
        <w:rPr>
          <w:rFonts w:hint="eastAsia" w:ascii="微软雅黑" w:hAnsi="微软雅黑" w:eastAsia="微软雅黑" w:cs="微软雅黑"/>
          <w:b/>
          <w:color w:val="000000"/>
          <w:kern w:val="0"/>
          <w:sz w:val="28"/>
          <w:szCs w:val="28"/>
        </w:rPr>
        <w:t>授权委托书（格式）</w:t>
      </w:r>
    </w:p>
    <w:p>
      <w:pPr>
        <w:widowControl/>
        <w:spacing w:before="156" w:beforeLines="50"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left="239" w:leftChars="114" w:firstLine="240" w:firstLineChars="100"/>
        <w:jc w:val="left"/>
        <w:rPr>
          <w:rFonts w:ascii="宋体" w:hAnsi="宋体" w:cs="宋体"/>
          <w:b/>
          <w:bCs/>
          <w:color w:val="000000"/>
          <w:kern w:val="0"/>
          <w:sz w:val="24"/>
        </w:rPr>
      </w:pPr>
      <w:r>
        <w:rPr>
          <w:rFonts w:ascii="宋体" w:hAnsi="宋体" w:cs="宋体"/>
          <w:color w:val="000000"/>
          <w:kern w:val="0"/>
          <w:sz w:val="24"/>
        </w:rPr>
        <w:t>根据</w:t>
      </w:r>
      <w:r>
        <w:rPr>
          <w:rFonts w:hint="eastAsia" w:ascii="宋体" w:hAnsi="宋体" w:cs="宋体"/>
          <w:color w:val="000000"/>
          <w:kern w:val="0"/>
          <w:sz w:val="24"/>
        </w:rPr>
        <w:t>项目</w:t>
      </w:r>
      <w:r>
        <w:rPr>
          <w:rFonts w:ascii="宋体" w:hAnsi="宋体" w:cs="宋体"/>
          <w:color w:val="000000"/>
          <w:kern w:val="0"/>
          <w:sz w:val="24"/>
        </w:rPr>
        <w:t>招标文件的要求</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s="宋体"/>
          <w:color w:val="000000"/>
          <w:kern w:val="0"/>
          <w:sz w:val="24"/>
          <w:u w:val="single"/>
        </w:rPr>
        <w:t>（</w:t>
      </w:r>
      <w:r>
        <w:rPr>
          <w:rFonts w:hint="eastAsia" w:ascii="宋体" w:hAnsi="宋体" w:cs="宋体"/>
          <w:color w:val="000000"/>
          <w:kern w:val="0"/>
          <w:sz w:val="24"/>
          <w:u w:val="single"/>
        </w:rPr>
        <w:t>法人代表</w:t>
      </w:r>
      <w:r>
        <w:rPr>
          <w:rFonts w:ascii="宋体" w:hAnsi="宋体" w:cs="宋体"/>
          <w:color w:val="000000"/>
          <w:kern w:val="0"/>
          <w:sz w:val="24"/>
          <w:u w:val="single"/>
        </w:rPr>
        <w:t>全名及</w:t>
      </w:r>
      <w:r>
        <w:rPr>
          <w:rFonts w:hint="eastAsia" w:ascii="宋体" w:hAnsi="宋体" w:cs="宋体"/>
          <w:color w:val="000000"/>
          <w:kern w:val="0"/>
          <w:sz w:val="24"/>
          <w:u w:val="single"/>
        </w:rPr>
        <w:t>职衔；若法人参加则填“法人参加”</w:t>
      </w:r>
      <w:r>
        <w:rPr>
          <w:rFonts w:ascii="宋体" w:hAnsi="宋体" w:cs="宋体"/>
          <w:color w:val="000000"/>
          <w:kern w:val="0"/>
          <w:sz w:val="24"/>
          <w:u w:val="single"/>
        </w:rPr>
        <w:t>）</w:t>
      </w:r>
      <w:r>
        <w:rPr>
          <w:rFonts w:hint="eastAsia" w:ascii="宋体" w:hAnsi="宋体" w:cs="宋体"/>
          <w:color w:val="000000"/>
          <w:kern w:val="0"/>
          <w:sz w:val="24"/>
          <w:u w:val="single"/>
        </w:rPr>
        <w:t xml:space="preserve">   </w:t>
      </w:r>
      <w:r>
        <w:rPr>
          <w:rFonts w:ascii="宋体" w:hAnsi="宋体" w:cs="宋体"/>
          <w:color w:val="000000"/>
          <w:kern w:val="0"/>
          <w:sz w:val="24"/>
        </w:rPr>
        <w:t>经正式授权并以投标人</w:t>
      </w:r>
      <w:r>
        <w:rPr>
          <w:rFonts w:ascii="宋体" w:hAnsi="宋体" w:cs="宋体"/>
          <w:color w:val="000000"/>
          <w:kern w:val="0"/>
          <w:sz w:val="24"/>
          <w:u w:val="single"/>
        </w:rPr>
        <w:t>（投标人</w:t>
      </w:r>
      <w:r>
        <w:rPr>
          <w:rFonts w:hint="eastAsia" w:ascii="宋体" w:hAnsi="宋体" w:cs="宋体"/>
          <w:color w:val="000000"/>
          <w:kern w:val="0"/>
          <w:sz w:val="24"/>
          <w:u w:val="single"/>
        </w:rPr>
        <w:t>单位</w:t>
      </w:r>
      <w:r>
        <w:rPr>
          <w:rFonts w:ascii="宋体" w:hAnsi="宋体" w:cs="宋体"/>
          <w:color w:val="000000"/>
          <w:kern w:val="0"/>
          <w:sz w:val="24"/>
          <w:u w:val="single"/>
        </w:rPr>
        <w:t>名称）</w:t>
      </w:r>
      <w:r>
        <w:rPr>
          <w:rFonts w:hint="eastAsia" w:ascii="宋体" w:hAnsi="宋体" w:cs="宋体"/>
          <w:color w:val="000000"/>
          <w:kern w:val="0"/>
          <w:sz w:val="24"/>
          <w:u w:val="single"/>
        </w:rPr>
        <w:t xml:space="preserve">    </w:t>
      </w:r>
      <w:r>
        <w:rPr>
          <w:rFonts w:ascii="宋体" w:hAnsi="宋体" w:cs="宋体"/>
          <w:color w:val="000000"/>
          <w:kern w:val="0"/>
          <w:sz w:val="24"/>
        </w:rPr>
        <w:t>的名义投标。</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1</w:t>
      </w:r>
      <w:r>
        <w:rPr>
          <w:rFonts w:ascii="宋体" w:hAnsi="宋体" w:cs="宋体"/>
          <w:color w:val="000000"/>
          <w:kern w:val="0"/>
          <w:sz w:val="24"/>
        </w:rPr>
        <w:t>、我们愿遵守招标文件中的各项规定，提供</w:t>
      </w:r>
      <w:r>
        <w:rPr>
          <w:rFonts w:hint="eastAsia" w:ascii="宋体" w:hAnsi="宋体" w:cs="宋体"/>
          <w:color w:val="000000"/>
          <w:kern w:val="0"/>
          <w:sz w:val="24"/>
        </w:rPr>
        <w:t>符合招标人要求的物品及服务</w:t>
      </w:r>
      <w:r>
        <w:rPr>
          <w:rFonts w:ascii="宋体" w:hAnsi="宋体" w:cs="宋体"/>
          <w:color w:val="000000"/>
          <w:kern w:val="0"/>
          <w:sz w:val="24"/>
        </w:rPr>
        <w:t>。</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2</w:t>
      </w:r>
      <w:r>
        <w:rPr>
          <w:rFonts w:ascii="宋体" w:hAnsi="宋体" w:cs="宋体"/>
          <w:color w:val="000000"/>
          <w:kern w:val="0"/>
          <w:sz w:val="24"/>
        </w:rPr>
        <w:t>、同意本投标自投标截止日起</w:t>
      </w:r>
      <w:r>
        <w:rPr>
          <w:rFonts w:hint="eastAsia" w:ascii="宋体" w:hAnsi="宋体"/>
          <w:color w:val="000000"/>
          <w:kern w:val="0"/>
          <w:sz w:val="24"/>
        </w:rPr>
        <w:t>3</w:t>
      </w:r>
      <w:r>
        <w:rPr>
          <w:rFonts w:ascii="宋体" w:hAnsi="宋体" w:cs="宋体"/>
          <w:color w:val="000000"/>
          <w:kern w:val="0"/>
          <w:sz w:val="24"/>
        </w:rPr>
        <w:t>天内有效，如果我们的投标被接受，直至合同生效日，本投标始终有效。</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3</w:t>
      </w:r>
      <w:r>
        <w:rPr>
          <w:rFonts w:ascii="宋体" w:hAnsi="宋体" w:cs="宋体"/>
          <w:color w:val="000000"/>
          <w:kern w:val="0"/>
          <w:sz w:val="24"/>
        </w:rPr>
        <w:t>、我们</w:t>
      </w:r>
      <w:r>
        <w:rPr>
          <w:rFonts w:hint="eastAsia" w:ascii="宋体" w:hAnsi="宋体" w:cs="宋体"/>
          <w:color w:val="000000"/>
          <w:kern w:val="0"/>
          <w:sz w:val="24"/>
        </w:rPr>
        <w:t>已</w:t>
      </w:r>
      <w:r>
        <w:rPr>
          <w:rFonts w:ascii="宋体" w:hAnsi="宋体" w:cs="宋体"/>
          <w:color w:val="000000"/>
          <w:kern w:val="0"/>
          <w:sz w:val="24"/>
        </w:rPr>
        <w:t>详细阅读了全部招标文件及附件。</w:t>
      </w:r>
    </w:p>
    <w:p>
      <w:pPr>
        <w:widowControl/>
        <w:spacing w:line="420" w:lineRule="exact"/>
        <w:ind w:firstLine="480" w:firstLineChars="200"/>
        <w:jc w:val="left"/>
        <w:rPr>
          <w:rFonts w:ascii="宋体" w:hAnsi="宋体" w:cs="宋体"/>
          <w:color w:val="000000"/>
          <w:kern w:val="0"/>
          <w:sz w:val="24"/>
        </w:rPr>
      </w:pPr>
      <w:r>
        <w:rPr>
          <w:rFonts w:ascii="宋体" w:hAnsi="宋体"/>
          <w:color w:val="000000"/>
          <w:kern w:val="0"/>
          <w:sz w:val="24"/>
        </w:rPr>
        <w:t>4</w:t>
      </w:r>
      <w:r>
        <w:rPr>
          <w:rFonts w:ascii="宋体" w:hAnsi="宋体" w:cs="宋体"/>
          <w:color w:val="000000"/>
          <w:kern w:val="0"/>
          <w:sz w:val="24"/>
        </w:rPr>
        <w:t>、我们同意提供招标人要求的有关投标的其他资料。</w:t>
      </w:r>
    </w:p>
    <w:p>
      <w:pPr>
        <w:widowControl/>
        <w:spacing w:line="42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授权代表（签字）：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职</w:t>
      </w:r>
      <w:r>
        <w:rPr>
          <w:rFonts w:ascii="宋体" w:hAnsi="宋体"/>
          <w:color w:val="000000"/>
          <w:kern w:val="0"/>
          <w:sz w:val="24"/>
        </w:rPr>
        <w:t xml:space="preserve">  </w:t>
      </w:r>
      <w:r>
        <w:rPr>
          <w:rFonts w:ascii="宋体" w:hAnsi="宋体" w:cs="宋体"/>
          <w:color w:val="000000"/>
          <w:kern w:val="0"/>
          <w:sz w:val="24"/>
        </w:rPr>
        <w:t>务</w:t>
      </w:r>
      <w:r>
        <w:rPr>
          <w:rFonts w:hint="eastAsia" w:ascii="宋体" w:hAnsi="宋体" w:cs="宋体"/>
          <w:color w:val="000000"/>
          <w:kern w:val="0"/>
          <w:sz w:val="24"/>
        </w:rPr>
        <w:t>：</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授权代表身份证复印件：</w:t>
      </w:r>
    </w:p>
    <w:tbl>
      <w:tblPr>
        <w:tblStyle w:val="17"/>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440" w:lineRule="exact"/>
        <w:ind w:firstLine="480" w:firstLineChars="200"/>
        <w:jc w:val="left"/>
        <w:rPr>
          <w:rFonts w:ascii="宋体" w:hAnsi="宋体" w:cs="宋体"/>
          <w:color w:val="000000"/>
          <w:kern w:val="0"/>
          <w:sz w:val="24"/>
        </w:rPr>
      </w:pP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法人代表（签名）：</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40" w:lineRule="exact"/>
        <w:ind w:firstLine="480" w:firstLineChars="2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375" w:lineRule="atLeast"/>
        <w:jc w:val="left"/>
        <w:rPr>
          <w:rFonts w:ascii="宋体" w:hAnsi="宋体" w:cs="宋体"/>
          <w:bCs/>
          <w:color w:val="000000"/>
          <w:kern w:val="0"/>
          <w:sz w:val="24"/>
        </w:rPr>
      </w:pPr>
      <w:r>
        <w:rPr>
          <w:rFonts w:hint="eastAsia" w:ascii="宋体" w:hAnsi="宋体" w:cs="宋体"/>
          <w:bCs/>
          <w:color w:val="000000"/>
          <w:kern w:val="0"/>
          <w:sz w:val="24"/>
        </w:rPr>
        <w:t>法人身份证复印件：</w:t>
      </w:r>
    </w:p>
    <w:tbl>
      <w:tblPr>
        <w:tblStyle w:val="17"/>
        <w:tblW w:w="74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13"/>
        <w:gridCol w:w="37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7" w:hRule="atLeast"/>
        </w:trPr>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（身份证正面）</w:t>
            </w:r>
          </w:p>
        </w:tc>
        <w:tc>
          <w:tcPr>
            <w:tcW w:w="3713" w:type="dxa"/>
            <w:vAlign w:val="center"/>
          </w:tcPr>
          <w:p>
            <w:pPr>
              <w:widowControl/>
              <w:spacing w:line="440" w:lineRule="exact"/>
              <w:jc w:val="left"/>
              <w:rPr>
                <w:rFonts w:ascii="宋体" w:hAnsi="宋体" w:cs="宋体"/>
                <w:color w:val="000000"/>
                <w:kern w:val="0"/>
                <w:sz w:val="24"/>
              </w:rPr>
            </w:pPr>
            <w:r>
              <w:rPr>
                <w:rFonts w:hint="eastAsia" w:ascii="宋体" w:hAnsi="宋体" w:cs="宋体"/>
                <w:color w:val="000000"/>
                <w:kern w:val="0"/>
                <w:sz w:val="24"/>
              </w:rPr>
              <w:t>（身份证反面）</w:t>
            </w:r>
          </w:p>
        </w:tc>
      </w:tr>
    </w:tbl>
    <w:p>
      <w:pPr>
        <w:widowControl/>
        <w:spacing w:line="375" w:lineRule="atLeast"/>
        <w:jc w:val="left"/>
        <w:rPr>
          <w:rFonts w:ascii="宋体" w:hAnsi="宋体" w:cs="宋体"/>
          <w:bCs/>
          <w:color w:val="000000"/>
          <w:kern w:val="0"/>
          <w:sz w:val="22"/>
          <w:szCs w:val="22"/>
        </w:rPr>
      </w:pPr>
      <w:r>
        <w:rPr>
          <w:rFonts w:hint="eastAsia" w:ascii="宋体" w:hAnsi="宋体" w:cs="宋体"/>
          <w:bCs/>
          <w:color w:val="000000"/>
          <w:kern w:val="0"/>
          <w:sz w:val="22"/>
          <w:szCs w:val="22"/>
        </w:rPr>
        <w:t>说明：法人直接参加的授权代表签字项可删除或不填；</w:t>
      </w:r>
    </w:p>
    <w:p>
      <w:pPr>
        <w:widowControl/>
        <w:spacing w:before="124" w:beforeLines="40" w:after="124" w:afterLines="40" w:line="375" w:lineRule="atLeast"/>
        <w:rPr>
          <w:rFonts w:ascii="黑体" w:hAnsi="黑体" w:eastAsia="黑体" w:cs="黑体"/>
          <w:b/>
          <w:color w:val="000000"/>
          <w:kern w:val="0"/>
          <w:sz w:val="24"/>
        </w:rPr>
      </w:pPr>
      <w:r>
        <w:rPr>
          <w:rFonts w:hint="eastAsia" w:ascii="黑体" w:hAnsi="黑体" w:eastAsia="黑体" w:cs="黑体"/>
          <w:b/>
          <w:color w:val="000000"/>
          <w:kern w:val="0"/>
          <w:sz w:val="24"/>
        </w:rPr>
        <w:t>附件2</w:t>
      </w:r>
    </w:p>
    <w:p>
      <w:pPr>
        <w:widowControl/>
        <w:spacing w:before="124" w:beforeLines="40" w:after="124" w:afterLines="40" w:line="375" w:lineRule="atLeast"/>
        <w:jc w:val="center"/>
        <w:rPr>
          <w:rFonts w:ascii="微软雅黑" w:hAnsi="微软雅黑" w:eastAsia="微软雅黑" w:cs="微软雅黑"/>
          <w:color w:val="000000"/>
          <w:kern w:val="0"/>
          <w:sz w:val="28"/>
          <w:szCs w:val="28"/>
        </w:rPr>
      </w:pPr>
      <w:r>
        <w:rPr>
          <w:rFonts w:hint="eastAsia" w:ascii="微软雅黑" w:hAnsi="微软雅黑" w:eastAsia="微软雅黑" w:cs="微软雅黑"/>
          <w:b/>
          <w:color w:val="000000"/>
          <w:kern w:val="0"/>
          <w:sz w:val="28"/>
          <w:szCs w:val="28"/>
        </w:rPr>
        <w:t>服务承诺书（格式）</w:t>
      </w:r>
    </w:p>
    <w:p>
      <w:pPr>
        <w:widowControl/>
        <w:spacing w:line="420" w:lineRule="exact"/>
        <w:ind w:firstLine="480" w:firstLineChars="200"/>
        <w:jc w:val="left"/>
        <w:rPr>
          <w:rFonts w:ascii="宋体" w:hAnsi="宋体" w:cs="宋体"/>
          <w:color w:val="000000"/>
          <w:kern w:val="0"/>
          <w:sz w:val="24"/>
        </w:rPr>
      </w:pPr>
      <w:r>
        <w:rPr>
          <w:rFonts w:ascii="宋体" w:hAnsi="宋体" w:cs="宋体"/>
          <w:color w:val="000000"/>
          <w:kern w:val="0"/>
          <w:sz w:val="24"/>
        </w:rPr>
        <w:t>致：湖南</w:t>
      </w:r>
      <w:r>
        <w:rPr>
          <w:rFonts w:hint="eastAsia" w:ascii="宋体" w:hAnsi="宋体" w:cs="宋体"/>
          <w:color w:val="000000"/>
          <w:kern w:val="0"/>
          <w:sz w:val="24"/>
        </w:rPr>
        <w:t>化工职业技术学院</w:t>
      </w:r>
      <w:r>
        <w:rPr>
          <w:rFonts w:ascii="宋体" w:hAnsi="宋体" w:cs="宋体"/>
          <w:color w:val="000000"/>
          <w:kern w:val="0"/>
          <w:sz w:val="24"/>
        </w:rPr>
        <w:t>：</w:t>
      </w:r>
    </w:p>
    <w:p>
      <w:pPr>
        <w:widowControl/>
        <w:spacing w:line="420" w:lineRule="exact"/>
        <w:ind w:firstLine="960" w:firstLineChars="400"/>
        <w:jc w:val="left"/>
        <w:rPr>
          <w:rFonts w:ascii="宋体" w:hAnsi="宋体" w:cs="宋体"/>
          <w:color w:val="000000"/>
          <w:kern w:val="0"/>
          <w:sz w:val="24"/>
        </w:rPr>
      </w:pPr>
      <w:r>
        <w:rPr>
          <w:rFonts w:ascii="宋体" w:hAnsi="宋体" w:cs="宋体"/>
          <w:color w:val="000000"/>
          <w:kern w:val="0"/>
          <w:sz w:val="24"/>
        </w:rPr>
        <w:t>根据你</w:t>
      </w:r>
      <w:r>
        <w:rPr>
          <w:rFonts w:hint="eastAsia" w:ascii="宋体" w:hAnsi="宋体" w:cs="宋体"/>
          <w:color w:val="000000"/>
          <w:kern w:val="0"/>
          <w:sz w:val="24"/>
        </w:rPr>
        <w:t>院</w:t>
      </w:r>
      <w:r>
        <w:rPr>
          <w:rFonts w:ascii="宋体" w:hAnsi="宋体" w:cs="宋体"/>
          <w:color w:val="000000"/>
          <w:kern w:val="0"/>
          <w:sz w:val="24"/>
        </w:rPr>
        <w:t>招标文件中的要求，我们对所投标的</w:t>
      </w:r>
      <w:r>
        <w:rPr>
          <w:rFonts w:hint="eastAsia" w:ascii="宋体" w:hAnsi="宋体" w:cs="宋体"/>
          <w:color w:val="000000"/>
          <w:kern w:val="0"/>
          <w:sz w:val="24"/>
        </w:rPr>
        <w:t>服务项目</w:t>
      </w:r>
      <w:r>
        <w:rPr>
          <w:rFonts w:ascii="宋体" w:hAnsi="宋体" w:cs="宋体"/>
          <w:color w:val="000000"/>
          <w:kern w:val="0"/>
          <w:sz w:val="24"/>
        </w:rPr>
        <w:t>承诺如下服务：</w:t>
      </w:r>
    </w:p>
    <w:p>
      <w:pPr>
        <w:widowControl/>
        <w:spacing w:line="420" w:lineRule="exact"/>
        <w:ind w:firstLine="964" w:firstLineChars="400"/>
        <w:jc w:val="left"/>
        <w:rPr>
          <w:rFonts w:ascii="宋体" w:hAnsi="宋体" w:cs="宋体"/>
          <w:b/>
          <w:bCs/>
          <w:color w:val="000000"/>
          <w:kern w:val="0"/>
          <w:sz w:val="24"/>
        </w:rPr>
      </w:pPr>
    </w:p>
    <w:p>
      <w:pPr>
        <w:widowControl/>
        <w:spacing w:line="420" w:lineRule="exact"/>
        <w:ind w:firstLine="964" w:firstLineChars="400"/>
        <w:jc w:val="left"/>
        <w:rPr>
          <w:rFonts w:ascii="宋体" w:hAnsi="宋体" w:cs="宋体"/>
          <w:b/>
          <w:bCs/>
          <w:color w:val="000000"/>
          <w:kern w:val="0"/>
          <w:sz w:val="24"/>
        </w:rPr>
      </w:pPr>
    </w:p>
    <w:p>
      <w:pPr>
        <w:widowControl/>
        <w:spacing w:line="420" w:lineRule="exact"/>
        <w:ind w:firstLine="964" w:firstLineChars="400"/>
        <w:jc w:val="left"/>
        <w:rPr>
          <w:rFonts w:ascii="宋体" w:hAnsi="宋体" w:cs="宋体"/>
          <w:b/>
          <w:bCs/>
          <w:color w:val="000000"/>
          <w:kern w:val="0"/>
          <w:sz w:val="24"/>
        </w:rPr>
      </w:pPr>
    </w:p>
    <w:p>
      <w:pPr>
        <w:widowControl/>
        <w:spacing w:line="420" w:lineRule="exact"/>
        <w:ind w:firstLine="964" w:firstLineChars="400"/>
        <w:jc w:val="left"/>
        <w:rPr>
          <w:rFonts w:ascii="宋体" w:hAnsi="宋体" w:cs="宋体"/>
          <w:b/>
          <w:bCs/>
          <w:color w:val="000000"/>
          <w:kern w:val="0"/>
          <w:sz w:val="24"/>
        </w:rPr>
      </w:pPr>
    </w:p>
    <w:p>
      <w:pPr>
        <w:widowControl/>
        <w:spacing w:line="420" w:lineRule="exact"/>
        <w:ind w:firstLine="964" w:firstLineChars="400"/>
        <w:jc w:val="left"/>
        <w:rPr>
          <w:rFonts w:ascii="宋体" w:hAnsi="宋体" w:cs="宋体"/>
          <w:b/>
          <w:bCs/>
          <w:color w:val="000000"/>
          <w:kern w:val="0"/>
          <w:sz w:val="24"/>
        </w:rPr>
      </w:pPr>
      <w:r>
        <w:rPr>
          <w:rFonts w:ascii="宋体" w:hAnsi="宋体" w:cs="宋体"/>
          <w:b/>
          <w:bCs/>
          <w:color w:val="000000"/>
          <w:kern w:val="0"/>
          <w:sz w:val="24"/>
        </w:rPr>
        <w:t>特此承诺</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法人代表签字：</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p>
    <w:p>
      <w:pPr>
        <w:widowControl/>
        <w:spacing w:line="420" w:lineRule="exact"/>
        <w:ind w:firstLine="960" w:firstLineChars="400"/>
        <w:jc w:val="left"/>
        <w:rPr>
          <w:rFonts w:ascii="宋体" w:hAnsi="宋体"/>
          <w:color w:val="000000"/>
          <w:kern w:val="0"/>
          <w:sz w:val="24"/>
        </w:rPr>
      </w:pPr>
      <w:r>
        <w:rPr>
          <w:rFonts w:ascii="宋体" w:hAnsi="宋体" w:cs="宋体"/>
          <w:color w:val="000000"/>
          <w:kern w:val="0"/>
          <w:sz w:val="24"/>
        </w:rPr>
        <w:t>投标单位名称（公章）：</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hint="eastAsia" w:ascii="宋体" w:hAnsi="宋体"/>
          <w:color w:val="000000"/>
          <w:kern w:val="0"/>
          <w:sz w:val="24"/>
          <w:u w:val="single"/>
        </w:rPr>
        <w:t xml:space="preserve">      </w:t>
      </w:r>
      <w:r>
        <w:rPr>
          <w:rFonts w:ascii="宋体" w:hAnsi="宋体"/>
          <w:color w:val="000000"/>
          <w:kern w:val="0"/>
          <w:sz w:val="24"/>
          <w:u w:val="single"/>
        </w:rPr>
        <w:t xml:space="preserve">           </w:t>
      </w:r>
      <w:r>
        <w:rPr>
          <w:rFonts w:ascii="宋体" w:hAnsi="宋体"/>
          <w:color w:val="000000"/>
          <w:kern w:val="0"/>
          <w:sz w:val="24"/>
        </w:rPr>
        <w:t xml:space="preserve"> </w:t>
      </w:r>
    </w:p>
    <w:p>
      <w:pPr>
        <w:widowControl/>
        <w:spacing w:line="375" w:lineRule="atLeast"/>
        <w:ind w:firstLine="117" w:firstLineChars="49"/>
        <w:jc w:val="left"/>
        <w:rPr>
          <w:rFonts w:ascii="宋体" w:hAnsi="宋体" w:cs="宋体"/>
          <w:bCs/>
          <w:color w:val="000000"/>
          <w:kern w:val="0"/>
          <w:sz w:val="24"/>
        </w:rPr>
      </w:pPr>
      <w:r>
        <w:rPr>
          <w:rFonts w:hint="eastAsia" w:ascii="宋体" w:hAnsi="宋体" w:cs="宋体"/>
          <w:bCs/>
          <w:color w:val="000000"/>
          <w:kern w:val="0"/>
          <w:sz w:val="24"/>
        </w:rPr>
        <w:t xml:space="preserve"> </w:t>
      </w:r>
    </w:p>
    <w:p>
      <w:pPr>
        <w:widowControl/>
        <w:spacing w:before="124" w:beforeLines="40" w:after="124" w:afterLines="40" w:line="375" w:lineRule="atLeast"/>
        <w:rPr>
          <w:rFonts w:ascii="微软雅黑" w:hAnsi="微软雅黑" w:eastAsia="微软雅黑" w:cs="微软雅黑"/>
          <w:b/>
          <w:color w:val="000000"/>
          <w:kern w:val="0"/>
          <w:sz w:val="28"/>
          <w:szCs w:val="28"/>
        </w:rPr>
      </w:pPr>
    </w:p>
    <w:p>
      <w:pPr>
        <w:widowControl/>
        <w:spacing w:before="124" w:beforeLines="40" w:after="124" w:afterLines="40" w:line="375" w:lineRule="atLeast"/>
        <w:rPr>
          <w:rFonts w:ascii="黑体" w:hAnsi="黑体" w:eastAsia="黑体" w:cs="黑体"/>
          <w:b/>
          <w:color w:val="000000"/>
          <w:kern w:val="0"/>
          <w:sz w:val="24"/>
        </w:rPr>
      </w:pPr>
    </w:p>
    <w:p>
      <w:pPr>
        <w:widowControl/>
        <w:spacing w:before="124" w:beforeLines="40" w:after="124" w:afterLines="40" w:line="375" w:lineRule="atLeast"/>
        <w:rPr>
          <w:rFonts w:ascii="黑体" w:hAnsi="黑体" w:eastAsia="黑体" w:cs="黑体"/>
          <w:b/>
          <w:color w:val="000000"/>
          <w:kern w:val="0"/>
          <w:sz w:val="24"/>
        </w:rPr>
      </w:pPr>
      <w:r>
        <w:rPr>
          <w:rFonts w:hint="eastAsia" w:ascii="黑体" w:hAnsi="黑体" w:eastAsia="黑体" w:cs="黑体"/>
          <w:b/>
          <w:color w:val="000000"/>
          <w:kern w:val="0"/>
          <w:sz w:val="24"/>
        </w:rPr>
        <w:t>附件3</w:t>
      </w:r>
    </w:p>
    <w:p>
      <w:pPr>
        <w:widowControl/>
        <w:spacing w:before="124" w:beforeLines="40" w:after="124" w:afterLines="40" w:line="375" w:lineRule="atLeast"/>
        <w:jc w:val="center"/>
        <w:rPr>
          <w:rFonts w:ascii="微软雅黑" w:hAnsi="微软雅黑" w:eastAsia="微软雅黑" w:cs="微软雅黑"/>
          <w:b/>
          <w:color w:val="FF0000"/>
          <w:kern w:val="0"/>
          <w:sz w:val="28"/>
          <w:szCs w:val="28"/>
        </w:rPr>
      </w:pPr>
      <w:r>
        <w:rPr>
          <w:rFonts w:hint="eastAsia" w:ascii="微软雅黑" w:hAnsi="微软雅黑" w:eastAsia="微软雅黑" w:cs="微软雅黑"/>
          <w:b/>
          <w:color w:val="000000"/>
          <w:kern w:val="0"/>
          <w:sz w:val="28"/>
          <w:szCs w:val="28"/>
        </w:rPr>
        <w:t>需要提交的资格证明文件</w:t>
      </w:r>
      <w:r>
        <w:rPr>
          <w:rFonts w:hint="eastAsia" w:ascii="微软雅黑" w:hAnsi="微软雅黑" w:eastAsia="微软雅黑" w:cs="微软雅黑"/>
          <w:b/>
          <w:color w:val="FF0000"/>
          <w:kern w:val="0"/>
          <w:sz w:val="28"/>
          <w:szCs w:val="28"/>
        </w:rPr>
        <w:t>（均需要加盖公章）</w:t>
      </w:r>
    </w:p>
    <w:p>
      <w:pPr>
        <w:widowControl/>
        <w:spacing w:before="124" w:beforeLines="40" w:after="124" w:afterLines="40"/>
        <w:jc w:val="center"/>
        <w:rPr>
          <w:rFonts w:ascii="微软雅黑" w:hAnsi="微软雅黑" w:eastAsia="微软雅黑" w:cs="微软雅黑"/>
          <w:bCs/>
          <w:kern w:val="0"/>
          <w:sz w:val="24"/>
        </w:rPr>
      </w:pPr>
      <w:r>
        <w:rPr>
          <w:rFonts w:hint="eastAsia" w:ascii="微软雅黑" w:hAnsi="微软雅黑" w:eastAsia="微软雅黑" w:cs="微软雅黑"/>
          <w:bCs/>
          <w:kern w:val="0"/>
          <w:sz w:val="24"/>
          <w:highlight w:val="green"/>
        </w:rPr>
        <w:t>（除标书内提交的资质证明外，递交响应文件时应同时递交一份资质证明供现场查验）</w:t>
      </w:r>
    </w:p>
    <w:p>
      <w:pPr>
        <w:pStyle w:val="13"/>
        <w:widowControl w:val="0"/>
        <w:adjustRightInd w:val="0"/>
        <w:snapToGrid w:val="0"/>
        <w:spacing w:before="156" w:beforeLines="50" w:beforeAutospacing="0" w:after="0" w:afterAutospacing="0" w:line="360" w:lineRule="auto"/>
        <w:ind w:firstLine="480" w:firstLineChars="200"/>
        <w:rPr>
          <w:rFonts w:cs="宋体"/>
          <w:snapToGrid w:val="0"/>
          <w:color w:val="000000"/>
        </w:rPr>
      </w:pPr>
      <w:r>
        <w:rPr>
          <w:rFonts w:hint="eastAsia" w:cs="宋体"/>
          <w:snapToGrid w:val="0"/>
          <w:color w:val="000000"/>
        </w:rPr>
        <w:t>1、法人提交企业法人营业执照副本(或者法人登记证书)以及组织机构代码证副本复印件及</w:t>
      </w:r>
      <w:r>
        <w:rPr>
          <w:rFonts w:hint="eastAsia" w:cs="宋体"/>
          <w:snapToGrid w:val="0"/>
          <w:color w:val="000000"/>
          <w:highlight w:val="green"/>
        </w:rPr>
        <w:t>参加投标法人授权委托书</w:t>
      </w:r>
      <w:r>
        <w:rPr>
          <w:rFonts w:hint="eastAsia" w:cs="宋体"/>
          <w:snapToGrid w:val="0"/>
          <w:color w:val="000000"/>
        </w:rPr>
        <w:t>；</w:t>
      </w:r>
    </w:p>
    <w:p>
      <w:pPr>
        <w:pStyle w:val="13"/>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2、供应商具有实行了“三证合一”登记制度改革的新证，视同为持有工商营业执照、组织机构代码证和税务登记证，符合基本资格条件的相关条款；供应商具有实行了“五证合一”登记制度改革的新证，视同持有工商营业执照、组织机构代码证、税务登记证、社会保险登记证和统计登记证，符合基本资格条件的相关条款。供应商如是“三证合一或五证合一”，请自行说明。</w:t>
      </w:r>
    </w:p>
    <w:p>
      <w:pPr>
        <w:pStyle w:val="13"/>
        <w:widowControl w:val="0"/>
        <w:adjustRightInd w:val="0"/>
        <w:snapToGrid w:val="0"/>
        <w:spacing w:before="0" w:beforeAutospacing="0" w:after="0" w:afterAutospacing="0" w:line="360" w:lineRule="auto"/>
        <w:ind w:firstLine="480" w:firstLineChars="200"/>
        <w:rPr>
          <w:rFonts w:cs="宋体"/>
          <w:snapToGrid w:val="0"/>
          <w:color w:val="000000"/>
        </w:rPr>
      </w:pPr>
      <w:r>
        <w:rPr>
          <w:rFonts w:hint="eastAsia" w:cs="宋体"/>
          <w:snapToGrid w:val="0"/>
          <w:color w:val="000000"/>
        </w:rPr>
        <w:t>3、依法缴纳税收和社会保险费的证明材料；</w:t>
      </w:r>
    </w:p>
    <w:p>
      <w:pPr>
        <w:pStyle w:val="13"/>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4、电子卖场资质证明材料；</w:t>
      </w:r>
    </w:p>
    <w:p>
      <w:pPr>
        <w:pStyle w:val="13"/>
        <w:widowControl w:val="0"/>
        <w:adjustRightInd w:val="0"/>
        <w:snapToGrid w:val="0"/>
        <w:spacing w:before="0" w:beforeAutospacing="0" w:after="0" w:afterAutospacing="0" w:line="360" w:lineRule="auto"/>
        <w:ind w:firstLine="480" w:firstLineChars="200"/>
        <w:rPr>
          <w:bCs/>
          <w:color w:val="000000"/>
          <w:szCs w:val="21"/>
        </w:rPr>
      </w:pPr>
      <w:r>
        <w:rPr>
          <w:rFonts w:hint="eastAsia" w:cs="宋体"/>
          <w:bCs/>
          <w:color w:val="000000"/>
        </w:rPr>
        <w:t>5、资格证明文件复印件须加盖供应商公章。</w:t>
      </w:r>
    </w:p>
    <w:p>
      <w:pPr>
        <w:pStyle w:val="13"/>
        <w:widowControl w:val="0"/>
        <w:adjustRightInd w:val="0"/>
        <w:snapToGrid w:val="0"/>
        <w:spacing w:before="0" w:beforeAutospacing="0" w:after="0" w:afterAutospacing="0" w:line="360" w:lineRule="auto"/>
        <w:ind w:firstLine="480" w:firstLineChars="200"/>
        <w:rPr>
          <w:rFonts w:cs="宋体"/>
          <w:bCs/>
          <w:color w:val="000000"/>
        </w:rPr>
      </w:pPr>
      <w:r>
        <w:rPr>
          <w:rFonts w:hint="eastAsia" w:cs="宋体"/>
          <w:bCs/>
          <w:color w:val="000000"/>
        </w:rPr>
        <w:t>6、特定资格条件证明材料。</w:t>
      </w: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附件4</w:t>
      </w:r>
    </w:p>
    <w:p>
      <w:pPr>
        <w:adjustRightInd w:val="0"/>
        <w:snapToGrid w:val="0"/>
        <w:spacing w:before="156" w:beforeLines="50"/>
        <w:jc w:val="center"/>
        <w:rPr>
          <w:rFonts w:ascii="宋体" w:hAnsi="宋体"/>
          <w:color w:val="000000"/>
          <w:szCs w:val="21"/>
        </w:rPr>
      </w:pPr>
      <w:r>
        <w:rPr>
          <w:rFonts w:hint="eastAsia" w:ascii="微软雅黑" w:hAnsi="微软雅黑" w:eastAsia="微软雅黑" w:cs="微软雅黑"/>
          <w:b/>
          <w:color w:val="000000"/>
          <w:sz w:val="28"/>
          <w:szCs w:val="28"/>
        </w:rPr>
        <w:t>开标一览表</w:t>
      </w:r>
      <w:r>
        <w:rPr>
          <w:rFonts w:hint="eastAsia" w:ascii="宋体" w:hAnsi="宋体"/>
          <w:color w:val="000000"/>
          <w:szCs w:val="21"/>
        </w:rPr>
        <w:t xml:space="preserve">                                                       </w:t>
      </w:r>
    </w:p>
    <w:tbl>
      <w:tblPr>
        <w:tblStyle w:val="16"/>
        <w:tblpPr w:leftFromText="180" w:rightFromText="180" w:vertAnchor="text" w:horzAnchor="page" w:tblpX="1420" w:tblpY="621"/>
        <w:tblOverlap w:val="never"/>
        <w:tblW w:w="526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2469"/>
        <w:gridCol w:w="1507"/>
        <w:gridCol w:w="1115"/>
        <w:gridCol w:w="1160"/>
        <w:gridCol w:w="1621"/>
        <w:gridCol w:w="1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30" w:type="pct"/>
            <w:vMerge w:val="restart"/>
            <w:vAlign w:val="center"/>
          </w:tcPr>
          <w:p>
            <w:pPr>
              <w:jc w:val="center"/>
              <w:rPr>
                <w:rFonts w:ascii="仿宋_GB2312" w:hAnsi="宋体" w:eastAsia="仿宋_GB2312"/>
                <w:b/>
                <w:sz w:val="24"/>
              </w:rPr>
            </w:pPr>
            <w:r>
              <w:rPr>
                <w:rFonts w:hint="eastAsia" w:ascii="仿宋_GB2312" w:hAnsi="宋体" w:eastAsia="仿宋_GB2312"/>
                <w:b/>
                <w:sz w:val="24"/>
              </w:rPr>
              <w:t>属性</w:t>
            </w:r>
          </w:p>
        </w:tc>
        <w:tc>
          <w:tcPr>
            <w:tcW w:w="1226" w:type="pct"/>
            <w:vMerge w:val="restart"/>
            <w:vAlign w:val="center"/>
          </w:tcPr>
          <w:p>
            <w:pPr>
              <w:jc w:val="center"/>
              <w:rPr>
                <w:rFonts w:ascii="仿宋_GB2312" w:hAnsi="宋体" w:eastAsia="仿宋_GB2312"/>
                <w:b/>
                <w:sz w:val="24"/>
              </w:rPr>
            </w:pPr>
            <w:r>
              <w:rPr>
                <w:rFonts w:hint="eastAsia" w:ascii="仿宋_GB2312" w:hAnsi="宋体" w:eastAsia="仿宋_GB2312"/>
                <w:b/>
                <w:sz w:val="24"/>
              </w:rPr>
              <w:t>目的地</w:t>
            </w:r>
          </w:p>
        </w:tc>
        <w:tc>
          <w:tcPr>
            <w:tcW w:w="3344" w:type="pct"/>
            <w:gridSpan w:val="5"/>
            <w:vAlign w:val="center"/>
          </w:tcPr>
          <w:p>
            <w:pPr>
              <w:jc w:val="center"/>
              <w:rPr>
                <w:rFonts w:ascii="仿宋_GB2312" w:hAnsi="宋体" w:eastAsia="仿宋_GB2312"/>
                <w:b/>
                <w:sz w:val="24"/>
              </w:rPr>
            </w:pPr>
            <w:r>
              <w:rPr>
                <w:rFonts w:hint="eastAsia" w:ascii="仿宋_GB2312" w:hAnsi="宋体" w:eastAsia="仿宋_GB2312"/>
                <w:b/>
                <w:sz w:val="24"/>
              </w:rPr>
              <w:t>车型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0" w:type="pct"/>
            <w:vMerge w:val="continue"/>
            <w:vAlign w:val="center"/>
          </w:tcPr>
          <w:p>
            <w:pPr>
              <w:jc w:val="center"/>
              <w:rPr>
                <w:rFonts w:ascii="仿宋_GB2312" w:hAnsi="宋体" w:eastAsia="仿宋_GB2312"/>
                <w:b/>
                <w:sz w:val="24"/>
              </w:rPr>
            </w:pPr>
          </w:p>
        </w:tc>
        <w:tc>
          <w:tcPr>
            <w:tcW w:w="1226" w:type="pct"/>
            <w:vMerge w:val="continue"/>
            <w:vAlign w:val="center"/>
          </w:tcPr>
          <w:p>
            <w:pPr>
              <w:jc w:val="center"/>
              <w:rPr>
                <w:rFonts w:ascii="仿宋_GB2312" w:hAnsi="宋体" w:eastAsia="仿宋_GB2312"/>
                <w:b/>
                <w:kern w:val="0"/>
                <w:sz w:val="24"/>
              </w:rPr>
            </w:pPr>
          </w:p>
        </w:tc>
        <w:tc>
          <w:tcPr>
            <w:tcW w:w="1507" w:type="dxa"/>
            <w:vAlign w:val="center"/>
          </w:tcPr>
          <w:p>
            <w:pPr>
              <w:jc w:val="center"/>
              <w:rPr>
                <w:rFonts w:ascii="仿宋_GB2312" w:hAnsi="宋体" w:eastAsia="仿宋_GB2312" w:cs="宋体"/>
                <w:b/>
                <w:color w:val="000000"/>
                <w:kern w:val="0"/>
                <w:sz w:val="24"/>
              </w:rPr>
            </w:pPr>
            <w:r>
              <w:rPr>
                <w:rFonts w:hint="eastAsia" w:ascii="仿宋_GB2312" w:hAnsi="宋体" w:eastAsia="仿宋_GB2312"/>
                <w:b/>
                <w:kern w:val="0"/>
                <w:sz w:val="24"/>
              </w:rPr>
              <w:t>5</w:t>
            </w:r>
            <w:r>
              <w:rPr>
                <w:rFonts w:hint="eastAsia" w:ascii="仿宋_GB2312" w:hAnsi="宋体" w:eastAsia="仿宋_GB2312" w:cs="宋体"/>
                <w:b/>
                <w:color w:val="000000"/>
                <w:kern w:val="0"/>
                <w:sz w:val="24"/>
              </w:rPr>
              <w:t>座小轿车</w:t>
            </w:r>
          </w:p>
          <w:p>
            <w:pPr>
              <w:jc w:val="center"/>
              <w:rPr>
                <w:rFonts w:ascii="仿宋_GB2312" w:hAnsi="宋体" w:eastAsia="仿宋_GB2312"/>
                <w:b/>
                <w:sz w:val="24"/>
              </w:rPr>
            </w:pPr>
            <w:r>
              <w:rPr>
                <w:rFonts w:hint="eastAsia" w:ascii="仿宋_GB2312" w:hAnsi="宋体" w:eastAsia="仿宋_GB2312" w:cs="宋体"/>
                <w:b/>
                <w:color w:val="000000"/>
                <w:kern w:val="0"/>
                <w:sz w:val="24"/>
              </w:rPr>
              <w:t>（B级车型）</w:t>
            </w:r>
          </w:p>
        </w:tc>
        <w:tc>
          <w:tcPr>
            <w:tcW w:w="1115" w:type="dxa"/>
            <w:vAlign w:val="center"/>
          </w:tcPr>
          <w:p>
            <w:pPr>
              <w:jc w:val="center"/>
              <w:rPr>
                <w:rFonts w:ascii="仿宋_GB2312" w:hAnsi="宋体" w:eastAsia="仿宋_GB2312"/>
                <w:b/>
                <w:sz w:val="24"/>
              </w:rPr>
            </w:pPr>
            <w:r>
              <w:rPr>
                <w:rFonts w:hint="eastAsia" w:ascii="仿宋_GB2312" w:hAnsi="宋体" w:eastAsia="仿宋_GB2312"/>
                <w:b/>
                <w:kern w:val="0"/>
                <w:sz w:val="24"/>
              </w:rPr>
              <w:t>7座商务车</w:t>
            </w:r>
          </w:p>
        </w:tc>
        <w:tc>
          <w:tcPr>
            <w:tcW w:w="1160" w:type="dxa"/>
            <w:vAlign w:val="center"/>
          </w:tcPr>
          <w:p>
            <w:pPr>
              <w:jc w:val="center"/>
              <w:rPr>
                <w:rFonts w:ascii="仿宋_GB2312" w:hAnsi="宋体" w:eastAsia="仿宋_GB2312"/>
                <w:b/>
                <w:sz w:val="24"/>
              </w:rPr>
            </w:pPr>
            <w:r>
              <w:rPr>
                <w:rFonts w:hint="eastAsia" w:ascii="仿宋_GB2312" w:hAnsi="宋体" w:eastAsia="仿宋_GB2312"/>
                <w:b/>
                <w:kern w:val="0"/>
                <w:sz w:val="24"/>
              </w:rPr>
              <w:t>8-21座客车</w:t>
            </w:r>
          </w:p>
        </w:tc>
        <w:tc>
          <w:tcPr>
            <w:tcW w:w="1621" w:type="dxa"/>
            <w:vAlign w:val="center"/>
          </w:tcPr>
          <w:p>
            <w:pPr>
              <w:jc w:val="center"/>
              <w:rPr>
                <w:rFonts w:ascii="仿宋_GB2312" w:hAnsi="宋体" w:eastAsia="仿宋_GB2312"/>
                <w:b/>
                <w:sz w:val="24"/>
              </w:rPr>
            </w:pPr>
            <w:r>
              <w:rPr>
                <w:rFonts w:hint="eastAsia" w:ascii="仿宋_GB2312" w:hAnsi="宋体" w:eastAsia="仿宋_GB2312"/>
                <w:b/>
                <w:kern w:val="0"/>
                <w:sz w:val="24"/>
              </w:rPr>
              <w:t>22-39座客车</w:t>
            </w:r>
          </w:p>
        </w:tc>
        <w:tc>
          <w:tcPr>
            <w:tcW w:w="1331" w:type="dxa"/>
            <w:vAlign w:val="center"/>
          </w:tcPr>
          <w:p>
            <w:pPr>
              <w:jc w:val="center"/>
              <w:rPr>
                <w:rFonts w:ascii="仿宋_GB2312" w:hAnsi="宋体" w:eastAsia="仿宋_GB2312"/>
                <w:b/>
                <w:sz w:val="24"/>
              </w:rPr>
            </w:pPr>
            <w:r>
              <w:rPr>
                <w:rFonts w:hint="eastAsia" w:ascii="仿宋_GB2312" w:hAnsi="宋体" w:eastAsia="仿宋_GB2312"/>
                <w:b/>
                <w:kern w:val="0"/>
                <w:sz w:val="24"/>
              </w:rPr>
              <w:t>40-50座客车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0" w:type="pct"/>
            <w:vMerge w:val="restart"/>
            <w:vAlign w:val="center"/>
          </w:tcPr>
          <w:p>
            <w:pPr>
              <w:jc w:val="center"/>
              <w:rPr>
                <w:rFonts w:ascii="仿宋_GB2312" w:hAnsi="宋体" w:eastAsia="仿宋_GB2312"/>
                <w:sz w:val="24"/>
              </w:rPr>
            </w:pPr>
            <w:r>
              <w:rPr>
                <w:rFonts w:hint="eastAsia" w:ascii="仿宋_GB2312" w:hAnsi="宋体" w:eastAsia="仿宋_GB2312"/>
                <w:sz w:val="24"/>
              </w:rPr>
              <w:t>固定</w:t>
            </w:r>
          </w:p>
          <w:p>
            <w:pPr>
              <w:jc w:val="center"/>
              <w:rPr>
                <w:rFonts w:ascii="仿宋_GB2312" w:hAnsi="宋体" w:eastAsia="仿宋_GB2312"/>
                <w:sz w:val="24"/>
              </w:rPr>
            </w:pPr>
            <w:r>
              <w:rPr>
                <w:rFonts w:hint="eastAsia" w:ascii="仿宋_GB2312" w:hAnsi="宋体" w:eastAsia="仿宋_GB2312"/>
                <w:sz w:val="24"/>
              </w:rPr>
              <w:t>目的地</w:t>
            </w:r>
          </w:p>
        </w:tc>
        <w:tc>
          <w:tcPr>
            <w:tcW w:w="1226" w:type="pct"/>
            <w:vAlign w:val="center"/>
          </w:tcPr>
          <w:p>
            <w:pPr>
              <w:jc w:val="left"/>
              <w:rPr>
                <w:rFonts w:ascii="仿宋_GB2312" w:hAnsi="宋体" w:eastAsia="仿宋_GB2312"/>
                <w:kern w:val="0"/>
                <w:sz w:val="24"/>
              </w:rPr>
            </w:pPr>
            <w:r>
              <w:rPr>
                <w:rFonts w:hint="eastAsia" w:ascii="仿宋_GB2312" w:hAnsi="宋体" w:eastAsia="仿宋_GB2312" w:cs="宋体"/>
                <w:color w:val="000000"/>
                <w:kern w:val="0"/>
                <w:sz w:val="24"/>
              </w:rPr>
              <w:t>教育厅、黄花机场、长沙南站等地（40-55km）</w:t>
            </w:r>
          </w:p>
        </w:tc>
        <w:tc>
          <w:tcPr>
            <w:tcW w:w="748" w:type="pct"/>
            <w:vAlign w:val="center"/>
          </w:tcPr>
          <w:p>
            <w:pPr>
              <w:jc w:val="center"/>
              <w:rPr>
                <w:rFonts w:ascii="仿宋_GB2312" w:hAnsi="宋体" w:eastAsia="仿宋_GB2312"/>
                <w:kern w:val="0"/>
                <w:sz w:val="24"/>
              </w:rPr>
            </w:pPr>
          </w:p>
        </w:tc>
        <w:tc>
          <w:tcPr>
            <w:tcW w:w="554" w:type="pct"/>
            <w:vAlign w:val="center"/>
          </w:tcPr>
          <w:p>
            <w:pPr>
              <w:jc w:val="center"/>
              <w:rPr>
                <w:rFonts w:ascii="仿宋_GB2312" w:hAnsi="宋体" w:eastAsia="仿宋_GB2312" w:cs="宋体"/>
                <w:color w:val="000000"/>
                <w:kern w:val="0"/>
                <w:sz w:val="24"/>
              </w:rPr>
            </w:pPr>
          </w:p>
        </w:tc>
        <w:tc>
          <w:tcPr>
            <w:tcW w:w="576" w:type="pct"/>
            <w:vAlign w:val="center"/>
          </w:tcPr>
          <w:p>
            <w:pPr>
              <w:jc w:val="center"/>
              <w:rPr>
                <w:rFonts w:ascii="仿宋_GB2312" w:hAnsi="宋体" w:eastAsia="仿宋_GB2312"/>
                <w:sz w:val="24"/>
              </w:rPr>
            </w:pPr>
          </w:p>
        </w:tc>
        <w:tc>
          <w:tcPr>
            <w:tcW w:w="805" w:type="pct"/>
            <w:vAlign w:val="center"/>
          </w:tcPr>
          <w:p>
            <w:pPr>
              <w:jc w:val="center"/>
              <w:rPr>
                <w:rFonts w:ascii="仿宋_GB2312" w:hAnsi="宋体" w:eastAsia="仿宋_GB2312"/>
                <w:sz w:val="24"/>
              </w:rPr>
            </w:pPr>
          </w:p>
        </w:tc>
        <w:tc>
          <w:tcPr>
            <w:tcW w:w="661" w:type="pct"/>
            <w:vAlign w:val="center"/>
          </w:tcPr>
          <w:p>
            <w:pPr>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430" w:type="pct"/>
            <w:vMerge w:val="continue"/>
            <w:vAlign w:val="center"/>
          </w:tcPr>
          <w:p>
            <w:pPr>
              <w:jc w:val="center"/>
              <w:rPr>
                <w:rFonts w:ascii="仿宋_GB2312" w:hAnsi="宋体" w:eastAsia="仿宋_GB2312"/>
                <w:sz w:val="24"/>
              </w:rPr>
            </w:pPr>
          </w:p>
        </w:tc>
        <w:tc>
          <w:tcPr>
            <w:tcW w:w="1226" w:type="pct"/>
            <w:vAlign w:val="center"/>
          </w:tcPr>
          <w:p>
            <w:pPr>
              <w:jc w:val="center"/>
              <w:rPr>
                <w:rFonts w:ascii="仿宋_GB2312" w:hAnsi="宋体" w:eastAsia="仿宋_GB2312"/>
                <w:sz w:val="24"/>
              </w:rPr>
            </w:pPr>
            <w:r>
              <w:rPr>
                <w:rFonts w:hint="eastAsia" w:ascii="仿宋_GB2312" w:hAnsi="宋体" w:eastAsia="仿宋_GB2312"/>
                <w:sz w:val="24"/>
              </w:rPr>
              <w:t>株洲市内</w:t>
            </w:r>
          </w:p>
          <w:p>
            <w:pPr>
              <w:jc w:val="center"/>
              <w:rPr>
                <w:rFonts w:ascii="仿宋_GB2312" w:hAnsi="宋体" w:eastAsia="仿宋_GB2312"/>
                <w:sz w:val="24"/>
              </w:rPr>
            </w:pPr>
            <w:r>
              <w:rPr>
                <w:rFonts w:hint="eastAsia" w:ascii="仿宋_GB2312" w:hAnsi="宋体" w:eastAsia="仿宋_GB2312"/>
                <w:sz w:val="24"/>
              </w:rPr>
              <w:t>（10-20km）</w:t>
            </w:r>
          </w:p>
        </w:tc>
        <w:tc>
          <w:tcPr>
            <w:tcW w:w="748" w:type="pct"/>
            <w:vAlign w:val="center"/>
          </w:tcPr>
          <w:p>
            <w:pPr>
              <w:jc w:val="center"/>
              <w:rPr>
                <w:rFonts w:ascii="仿宋_GB2312" w:hAnsi="宋体" w:eastAsia="仿宋_GB2312"/>
                <w:sz w:val="24"/>
              </w:rPr>
            </w:pPr>
          </w:p>
        </w:tc>
        <w:tc>
          <w:tcPr>
            <w:tcW w:w="554" w:type="pct"/>
            <w:vAlign w:val="center"/>
          </w:tcPr>
          <w:p>
            <w:pPr>
              <w:jc w:val="center"/>
              <w:rPr>
                <w:rFonts w:ascii="仿宋_GB2312" w:hAnsi="宋体" w:eastAsia="仿宋_GB2312"/>
                <w:sz w:val="24"/>
              </w:rPr>
            </w:pPr>
          </w:p>
        </w:tc>
        <w:tc>
          <w:tcPr>
            <w:tcW w:w="576" w:type="pct"/>
            <w:vAlign w:val="center"/>
          </w:tcPr>
          <w:p>
            <w:pPr>
              <w:jc w:val="center"/>
              <w:rPr>
                <w:rFonts w:ascii="仿宋_GB2312" w:hAnsi="宋体" w:eastAsia="仿宋_GB2312"/>
                <w:sz w:val="24"/>
              </w:rPr>
            </w:pPr>
          </w:p>
        </w:tc>
        <w:tc>
          <w:tcPr>
            <w:tcW w:w="805" w:type="pct"/>
            <w:vAlign w:val="center"/>
          </w:tcPr>
          <w:p>
            <w:pPr>
              <w:jc w:val="center"/>
              <w:rPr>
                <w:rFonts w:ascii="仿宋_GB2312" w:hAnsi="宋体" w:eastAsia="仿宋_GB2312"/>
                <w:sz w:val="24"/>
              </w:rPr>
            </w:pPr>
          </w:p>
        </w:tc>
        <w:tc>
          <w:tcPr>
            <w:tcW w:w="661" w:type="pct"/>
            <w:vAlign w:val="center"/>
          </w:tcPr>
          <w:p>
            <w:pPr>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0" w:type="pct"/>
            <w:vMerge w:val="restart"/>
            <w:vAlign w:val="center"/>
          </w:tcPr>
          <w:p>
            <w:pPr>
              <w:jc w:val="center"/>
              <w:rPr>
                <w:rFonts w:ascii="仿宋_GB2312" w:hAnsi="宋体" w:eastAsia="仿宋_GB2312"/>
                <w:sz w:val="24"/>
              </w:rPr>
            </w:pPr>
            <w:r>
              <w:rPr>
                <w:rFonts w:hint="eastAsia" w:ascii="仿宋_GB2312" w:hAnsi="宋体" w:eastAsia="仿宋_GB2312"/>
                <w:sz w:val="24"/>
              </w:rPr>
              <w:t>日租</w:t>
            </w:r>
          </w:p>
        </w:tc>
        <w:tc>
          <w:tcPr>
            <w:tcW w:w="1226" w:type="pct"/>
            <w:vAlign w:val="center"/>
          </w:tcPr>
          <w:p>
            <w:pPr>
              <w:jc w:val="center"/>
              <w:rPr>
                <w:rFonts w:ascii="仿宋_GB2312" w:hAnsi="宋体" w:eastAsia="仿宋_GB2312"/>
                <w:sz w:val="24"/>
              </w:rPr>
            </w:pPr>
            <w:r>
              <w:rPr>
                <w:rFonts w:hint="eastAsia" w:ascii="仿宋_GB2312" w:hAnsi="宋体" w:eastAsia="仿宋_GB2312"/>
                <w:sz w:val="24"/>
              </w:rPr>
              <w:t>半日租价格</w:t>
            </w:r>
          </w:p>
          <w:p>
            <w:pPr>
              <w:jc w:val="center"/>
              <w:rPr>
                <w:rFonts w:ascii="仿宋_GB2312" w:hAnsi="宋体" w:eastAsia="仿宋_GB2312"/>
                <w:sz w:val="24"/>
              </w:rPr>
            </w:pPr>
            <w:r>
              <w:rPr>
                <w:rFonts w:hint="eastAsia" w:ascii="仿宋_GB2312" w:hAnsi="宋体" w:eastAsia="仿宋_GB2312"/>
                <w:sz w:val="24"/>
              </w:rPr>
              <w:t>（4小时、75km）</w:t>
            </w:r>
          </w:p>
        </w:tc>
        <w:tc>
          <w:tcPr>
            <w:tcW w:w="748" w:type="pct"/>
            <w:vAlign w:val="center"/>
          </w:tcPr>
          <w:p>
            <w:pPr>
              <w:jc w:val="center"/>
              <w:rPr>
                <w:rFonts w:ascii="仿宋_GB2312" w:hAnsi="宋体" w:eastAsia="仿宋_GB2312"/>
                <w:sz w:val="24"/>
              </w:rPr>
            </w:pPr>
          </w:p>
        </w:tc>
        <w:tc>
          <w:tcPr>
            <w:tcW w:w="554" w:type="pct"/>
            <w:vAlign w:val="center"/>
          </w:tcPr>
          <w:p>
            <w:pPr>
              <w:jc w:val="center"/>
              <w:rPr>
                <w:rFonts w:ascii="仿宋_GB2312" w:hAnsi="宋体" w:eastAsia="仿宋_GB2312"/>
                <w:sz w:val="24"/>
              </w:rPr>
            </w:pPr>
          </w:p>
        </w:tc>
        <w:tc>
          <w:tcPr>
            <w:tcW w:w="576" w:type="pct"/>
            <w:vAlign w:val="center"/>
          </w:tcPr>
          <w:p>
            <w:pPr>
              <w:jc w:val="center"/>
              <w:rPr>
                <w:rFonts w:ascii="仿宋_GB2312" w:hAnsi="宋体" w:eastAsia="仿宋_GB2312"/>
                <w:sz w:val="24"/>
              </w:rPr>
            </w:pPr>
          </w:p>
        </w:tc>
        <w:tc>
          <w:tcPr>
            <w:tcW w:w="805" w:type="pct"/>
            <w:vAlign w:val="center"/>
          </w:tcPr>
          <w:p>
            <w:pPr>
              <w:jc w:val="center"/>
              <w:rPr>
                <w:rFonts w:ascii="仿宋_GB2312" w:hAnsi="宋体" w:eastAsia="仿宋_GB2312"/>
                <w:sz w:val="24"/>
              </w:rPr>
            </w:pPr>
          </w:p>
        </w:tc>
        <w:tc>
          <w:tcPr>
            <w:tcW w:w="661" w:type="pct"/>
            <w:vAlign w:val="center"/>
          </w:tcPr>
          <w:p>
            <w:pPr>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0" w:type="pct"/>
            <w:vMerge w:val="continue"/>
            <w:vAlign w:val="center"/>
          </w:tcPr>
          <w:p>
            <w:pPr>
              <w:jc w:val="center"/>
              <w:rPr>
                <w:rFonts w:ascii="仿宋_GB2312" w:hAnsi="宋体" w:eastAsia="仿宋_GB2312"/>
                <w:sz w:val="24"/>
              </w:rPr>
            </w:pPr>
          </w:p>
        </w:tc>
        <w:tc>
          <w:tcPr>
            <w:tcW w:w="1226" w:type="pct"/>
            <w:vAlign w:val="center"/>
          </w:tcPr>
          <w:p>
            <w:pPr>
              <w:jc w:val="center"/>
              <w:rPr>
                <w:rFonts w:ascii="仿宋_GB2312" w:hAnsi="宋体" w:eastAsia="仿宋_GB2312"/>
                <w:sz w:val="24"/>
              </w:rPr>
            </w:pPr>
            <w:r>
              <w:rPr>
                <w:rFonts w:hint="eastAsia" w:ascii="仿宋_GB2312" w:hAnsi="宋体" w:eastAsia="仿宋_GB2312"/>
                <w:sz w:val="24"/>
              </w:rPr>
              <w:t>日租价格</w:t>
            </w:r>
          </w:p>
          <w:p>
            <w:pPr>
              <w:rPr>
                <w:rFonts w:ascii="仿宋_GB2312" w:hAnsi="宋体" w:eastAsia="仿宋_GB2312"/>
                <w:sz w:val="24"/>
              </w:rPr>
            </w:pPr>
            <w:r>
              <w:rPr>
                <w:rFonts w:hint="eastAsia" w:ascii="仿宋_GB2312" w:hAnsi="宋体" w:eastAsia="仿宋_GB2312"/>
                <w:sz w:val="24"/>
              </w:rPr>
              <w:t>（8小时、150km）</w:t>
            </w:r>
          </w:p>
        </w:tc>
        <w:tc>
          <w:tcPr>
            <w:tcW w:w="748" w:type="pct"/>
            <w:vAlign w:val="center"/>
          </w:tcPr>
          <w:p>
            <w:pPr>
              <w:jc w:val="center"/>
              <w:rPr>
                <w:rFonts w:ascii="仿宋_GB2312" w:hAnsi="宋体" w:eastAsia="仿宋_GB2312"/>
                <w:sz w:val="24"/>
              </w:rPr>
            </w:pPr>
          </w:p>
        </w:tc>
        <w:tc>
          <w:tcPr>
            <w:tcW w:w="554" w:type="pct"/>
            <w:vAlign w:val="center"/>
          </w:tcPr>
          <w:p>
            <w:pPr>
              <w:jc w:val="center"/>
              <w:rPr>
                <w:rFonts w:ascii="仿宋_GB2312" w:hAnsi="宋体" w:eastAsia="仿宋_GB2312"/>
                <w:sz w:val="24"/>
              </w:rPr>
            </w:pPr>
          </w:p>
        </w:tc>
        <w:tc>
          <w:tcPr>
            <w:tcW w:w="576" w:type="pct"/>
            <w:vAlign w:val="center"/>
          </w:tcPr>
          <w:p>
            <w:pPr>
              <w:jc w:val="center"/>
              <w:rPr>
                <w:rFonts w:ascii="仿宋_GB2312" w:hAnsi="宋体" w:eastAsia="仿宋_GB2312"/>
                <w:sz w:val="24"/>
              </w:rPr>
            </w:pPr>
          </w:p>
        </w:tc>
        <w:tc>
          <w:tcPr>
            <w:tcW w:w="805" w:type="pct"/>
            <w:vAlign w:val="center"/>
          </w:tcPr>
          <w:p>
            <w:pPr>
              <w:jc w:val="center"/>
              <w:rPr>
                <w:rFonts w:ascii="仿宋_GB2312" w:hAnsi="宋体" w:eastAsia="仿宋_GB2312"/>
                <w:sz w:val="24"/>
              </w:rPr>
            </w:pPr>
          </w:p>
        </w:tc>
        <w:tc>
          <w:tcPr>
            <w:tcW w:w="661" w:type="pct"/>
            <w:vAlign w:val="center"/>
          </w:tcPr>
          <w:p>
            <w:pPr>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30" w:type="pct"/>
            <w:vMerge w:val="continue"/>
            <w:vAlign w:val="center"/>
          </w:tcPr>
          <w:p>
            <w:pPr>
              <w:jc w:val="center"/>
              <w:rPr>
                <w:rFonts w:ascii="仿宋_GB2312" w:hAnsi="宋体" w:eastAsia="仿宋_GB2312"/>
                <w:sz w:val="24"/>
              </w:rPr>
            </w:pPr>
          </w:p>
        </w:tc>
        <w:tc>
          <w:tcPr>
            <w:tcW w:w="1226" w:type="pct"/>
            <w:vAlign w:val="center"/>
          </w:tcPr>
          <w:p>
            <w:pPr>
              <w:jc w:val="center"/>
              <w:rPr>
                <w:rFonts w:ascii="仿宋_GB2312" w:hAnsi="宋体" w:eastAsia="仿宋_GB2312"/>
                <w:sz w:val="24"/>
              </w:rPr>
            </w:pPr>
            <w:r>
              <w:rPr>
                <w:rFonts w:hint="eastAsia" w:ascii="仿宋_GB2312" w:hAnsi="宋体" w:eastAsia="仿宋_GB2312"/>
                <w:sz w:val="24"/>
              </w:rPr>
              <w:t>超150KM里程收费</w:t>
            </w:r>
          </w:p>
          <w:p>
            <w:pPr>
              <w:jc w:val="center"/>
              <w:rPr>
                <w:rFonts w:ascii="仿宋_GB2312" w:hAnsi="宋体" w:eastAsia="仿宋_GB2312"/>
                <w:sz w:val="24"/>
              </w:rPr>
            </w:pPr>
            <w:r>
              <w:rPr>
                <w:rFonts w:hint="eastAsia" w:ascii="仿宋_GB2312" w:hAnsi="宋体" w:eastAsia="仿宋_GB2312"/>
                <w:sz w:val="24"/>
              </w:rPr>
              <w:t>（元/公里）</w:t>
            </w:r>
          </w:p>
        </w:tc>
        <w:tc>
          <w:tcPr>
            <w:tcW w:w="748" w:type="pct"/>
            <w:vAlign w:val="center"/>
          </w:tcPr>
          <w:p>
            <w:pPr>
              <w:jc w:val="center"/>
              <w:rPr>
                <w:rFonts w:ascii="仿宋_GB2312" w:hAnsi="宋体" w:eastAsia="仿宋_GB2312"/>
                <w:sz w:val="24"/>
              </w:rPr>
            </w:pPr>
          </w:p>
        </w:tc>
        <w:tc>
          <w:tcPr>
            <w:tcW w:w="554" w:type="pct"/>
            <w:vAlign w:val="center"/>
          </w:tcPr>
          <w:p>
            <w:pPr>
              <w:jc w:val="center"/>
              <w:rPr>
                <w:rFonts w:ascii="仿宋_GB2312" w:hAnsi="宋体" w:eastAsia="仿宋_GB2312"/>
                <w:sz w:val="24"/>
              </w:rPr>
            </w:pPr>
          </w:p>
        </w:tc>
        <w:tc>
          <w:tcPr>
            <w:tcW w:w="576" w:type="pct"/>
            <w:vAlign w:val="center"/>
          </w:tcPr>
          <w:p>
            <w:pPr>
              <w:jc w:val="center"/>
              <w:rPr>
                <w:rFonts w:ascii="仿宋_GB2312" w:hAnsi="宋体" w:eastAsia="仿宋_GB2312"/>
                <w:sz w:val="24"/>
              </w:rPr>
            </w:pPr>
          </w:p>
        </w:tc>
        <w:tc>
          <w:tcPr>
            <w:tcW w:w="805" w:type="pct"/>
            <w:vAlign w:val="center"/>
          </w:tcPr>
          <w:p>
            <w:pPr>
              <w:jc w:val="center"/>
              <w:rPr>
                <w:rFonts w:ascii="仿宋_GB2312" w:hAnsi="宋体" w:eastAsia="仿宋_GB2312"/>
                <w:sz w:val="24"/>
              </w:rPr>
            </w:pPr>
          </w:p>
        </w:tc>
        <w:tc>
          <w:tcPr>
            <w:tcW w:w="661" w:type="pct"/>
            <w:vAlign w:val="center"/>
          </w:tcPr>
          <w:p>
            <w:pPr>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430" w:type="pct"/>
            <w:vMerge w:val="continue"/>
            <w:vAlign w:val="center"/>
          </w:tcPr>
          <w:p>
            <w:pPr>
              <w:jc w:val="center"/>
              <w:rPr>
                <w:rFonts w:ascii="仿宋_GB2312" w:hAnsi="宋体" w:eastAsia="仿宋_GB2312"/>
                <w:sz w:val="24"/>
              </w:rPr>
            </w:pPr>
          </w:p>
        </w:tc>
        <w:tc>
          <w:tcPr>
            <w:tcW w:w="1226" w:type="pct"/>
            <w:vAlign w:val="center"/>
          </w:tcPr>
          <w:p>
            <w:pPr>
              <w:jc w:val="center"/>
              <w:rPr>
                <w:rFonts w:ascii="仿宋_GB2312" w:hAnsi="宋体" w:eastAsia="仿宋_GB2312"/>
                <w:sz w:val="24"/>
              </w:rPr>
            </w:pPr>
            <w:r>
              <w:rPr>
                <w:rFonts w:hint="eastAsia" w:ascii="仿宋_GB2312" w:hAnsi="宋体" w:eastAsia="仿宋_GB2312"/>
                <w:sz w:val="24"/>
              </w:rPr>
              <w:t>超8小时后收费</w:t>
            </w:r>
          </w:p>
          <w:p>
            <w:pPr>
              <w:jc w:val="center"/>
              <w:rPr>
                <w:rFonts w:ascii="仿宋_GB2312" w:hAnsi="宋体" w:eastAsia="仿宋_GB2312"/>
                <w:sz w:val="24"/>
              </w:rPr>
            </w:pPr>
            <w:r>
              <w:rPr>
                <w:rFonts w:hint="eastAsia" w:ascii="仿宋_GB2312" w:hAnsi="宋体" w:eastAsia="仿宋_GB2312"/>
                <w:sz w:val="24"/>
              </w:rPr>
              <w:t>（元/小时）</w:t>
            </w:r>
          </w:p>
        </w:tc>
        <w:tc>
          <w:tcPr>
            <w:tcW w:w="748" w:type="pct"/>
            <w:vAlign w:val="center"/>
          </w:tcPr>
          <w:p>
            <w:pPr>
              <w:jc w:val="center"/>
              <w:rPr>
                <w:rFonts w:ascii="仿宋_GB2312" w:hAnsi="宋体" w:eastAsia="仿宋_GB2312"/>
                <w:sz w:val="24"/>
              </w:rPr>
            </w:pPr>
          </w:p>
        </w:tc>
        <w:tc>
          <w:tcPr>
            <w:tcW w:w="554" w:type="pct"/>
            <w:vAlign w:val="center"/>
          </w:tcPr>
          <w:p>
            <w:pPr>
              <w:jc w:val="center"/>
              <w:rPr>
                <w:rFonts w:ascii="仿宋_GB2312" w:hAnsi="宋体" w:eastAsia="仿宋_GB2312"/>
                <w:sz w:val="24"/>
              </w:rPr>
            </w:pPr>
          </w:p>
        </w:tc>
        <w:tc>
          <w:tcPr>
            <w:tcW w:w="576" w:type="pct"/>
            <w:vAlign w:val="center"/>
          </w:tcPr>
          <w:p>
            <w:pPr>
              <w:jc w:val="center"/>
              <w:rPr>
                <w:rFonts w:ascii="仿宋_GB2312" w:hAnsi="宋体" w:eastAsia="仿宋_GB2312"/>
                <w:sz w:val="24"/>
              </w:rPr>
            </w:pPr>
          </w:p>
        </w:tc>
        <w:tc>
          <w:tcPr>
            <w:tcW w:w="805" w:type="pct"/>
            <w:vAlign w:val="center"/>
          </w:tcPr>
          <w:p>
            <w:pPr>
              <w:jc w:val="center"/>
              <w:rPr>
                <w:rFonts w:ascii="仿宋_GB2312" w:hAnsi="宋体" w:eastAsia="仿宋_GB2312"/>
                <w:sz w:val="24"/>
              </w:rPr>
            </w:pPr>
          </w:p>
        </w:tc>
        <w:tc>
          <w:tcPr>
            <w:tcW w:w="661" w:type="pct"/>
            <w:vAlign w:val="center"/>
          </w:tcPr>
          <w:p>
            <w:pPr>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1656" w:type="pct"/>
            <w:gridSpan w:val="2"/>
            <w:vAlign w:val="center"/>
          </w:tcPr>
          <w:p>
            <w:pPr>
              <w:jc w:val="center"/>
              <w:rPr>
                <w:rFonts w:ascii="仿宋_GB2312" w:hAnsi="宋体" w:eastAsia="仿宋_GB2312"/>
                <w:sz w:val="24"/>
              </w:rPr>
            </w:pPr>
            <w:r>
              <w:rPr>
                <w:rFonts w:hint="eastAsia" w:ascii="仿宋_GB2312" w:hAnsi="宋体" w:eastAsia="仿宋_GB2312"/>
                <w:sz w:val="24"/>
              </w:rPr>
              <w:t>单项报价合计</w:t>
            </w:r>
          </w:p>
        </w:tc>
        <w:tc>
          <w:tcPr>
            <w:tcW w:w="748" w:type="pct"/>
            <w:vAlign w:val="center"/>
          </w:tcPr>
          <w:p>
            <w:pPr>
              <w:jc w:val="center"/>
              <w:rPr>
                <w:rFonts w:ascii="仿宋_GB2312" w:hAnsi="宋体" w:eastAsia="仿宋_GB2312"/>
                <w:sz w:val="24"/>
              </w:rPr>
            </w:pPr>
          </w:p>
        </w:tc>
        <w:tc>
          <w:tcPr>
            <w:tcW w:w="554" w:type="pct"/>
            <w:vAlign w:val="center"/>
          </w:tcPr>
          <w:p>
            <w:pPr>
              <w:jc w:val="center"/>
              <w:rPr>
                <w:rFonts w:ascii="仿宋_GB2312" w:hAnsi="宋体" w:eastAsia="仿宋_GB2312"/>
                <w:sz w:val="24"/>
              </w:rPr>
            </w:pPr>
          </w:p>
        </w:tc>
        <w:tc>
          <w:tcPr>
            <w:tcW w:w="576" w:type="pct"/>
            <w:vAlign w:val="center"/>
          </w:tcPr>
          <w:p>
            <w:pPr>
              <w:jc w:val="center"/>
              <w:rPr>
                <w:rFonts w:ascii="仿宋_GB2312" w:hAnsi="宋体" w:eastAsia="仿宋_GB2312"/>
                <w:sz w:val="24"/>
              </w:rPr>
            </w:pPr>
          </w:p>
        </w:tc>
        <w:tc>
          <w:tcPr>
            <w:tcW w:w="805" w:type="pct"/>
            <w:vAlign w:val="center"/>
          </w:tcPr>
          <w:p>
            <w:pPr>
              <w:jc w:val="center"/>
              <w:rPr>
                <w:rFonts w:ascii="仿宋_GB2312" w:hAnsi="宋体" w:eastAsia="仿宋_GB2312"/>
                <w:sz w:val="24"/>
              </w:rPr>
            </w:pPr>
          </w:p>
        </w:tc>
        <w:tc>
          <w:tcPr>
            <w:tcW w:w="661" w:type="pct"/>
            <w:vAlign w:val="center"/>
          </w:tcPr>
          <w:p>
            <w:pPr>
              <w:jc w:val="center"/>
              <w:rPr>
                <w:rFonts w:ascii="仿宋_GB2312" w:hAnsi="宋体"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trPr>
        <w:tc>
          <w:tcPr>
            <w:tcW w:w="1656" w:type="pct"/>
            <w:gridSpan w:val="2"/>
            <w:vAlign w:val="center"/>
          </w:tcPr>
          <w:p>
            <w:pPr>
              <w:jc w:val="center"/>
              <w:rPr>
                <w:rFonts w:ascii="仿宋_GB2312" w:hAnsi="宋体" w:eastAsia="仿宋_GB2312"/>
                <w:sz w:val="24"/>
              </w:rPr>
            </w:pPr>
            <w:r>
              <w:rPr>
                <w:rFonts w:hint="eastAsia" w:ascii="仿宋_GB2312" w:hAnsi="宋体" w:eastAsia="仿宋_GB2312"/>
                <w:sz w:val="24"/>
              </w:rPr>
              <w:t>合计权重</w:t>
            </w:r>
          </w:p>
        </w:tc>
        <w:tc>
          <w:tcPr>
            <w:tcW w:w="748" w:type="pct"/>
            <w:vAlign w:val="center"/>
          </w:tcPr>
          <w:p>
            <w:pPr>
              <w:jc w:val="center"/>
              <w:rPr>
                <w:rFonts w:ascii="仿宋_GB2312" w:hAnsi="宋体" w:eastAsia="仿宋_GB2312"/>
                <w:color w:val="auto"/>
                <w:sz w:val="24"/>
              </w:rPr>
            </w:pPr>
            <w:r>
              <w:rPr>
                <w:rFonts w:hint="eastAsia" w:ascii="仿宋_GB2312" w:hAnsi="宋体" w:eastAsia="仿宋_GB2312"/>
                <w:color w:val="auto"/>
                <w:sz w:val="24"/>
              </w:rPr>
              <w:t>25%</w:t>
            </w:r>
          </w:p>
        </w:tc>
        <w:tc>
          <w:tcPr>
            <w:tcW w:w="554" w:type="pct"/>
            <w:vAlign w:val="center"/>
          </w:tcPr>
          <w:p>
            <w:pPr>
              <w:jc w:val="center"/>
              <w:rPr>
                <w:rFonts w:ascii="仿宋_GB2312" w:hAnsi="宋体" w:eastAsia="仿宋_GB2312"/>
                <w:color w:val="auto"/>
                <w:sz w:val="24"/>
              </w:rPr>
            </w:pPr>
            <w:r>
              <w:rPr>
                <w:rFonts w:hint="eastAsia" w:ascii="仿宋_GB2312" w:hAnsi="宋体" w:eastAsia="仿宋_GB2312"/>
                <w:color w:val="auto"/>
                <w:sz w:val="24"/>
              </w:rPr>
              <w:t>20%</w:t>
            </w:r>
          </w:p>
        </w:tc>
        <w:tc>
          <w:tcPr>
            <w:tcW w:w="576" w:type="pct"/>
            <w:vAlign w:val="center"/>
          </w:tcPr>
          <w:p>
            <w:pPr>
              <w:jc w:val="center"/>
              <w:rPr>
                <w:rFonts w:ascii="仿宋_GB2312" w:hAnsi="宋体" w:eastAsia="仿宋_GB2312"/>
                <w:color w:val="auto"/>
                <w:sz w:val="24"/>
              </w:rPr>
            </w:pPr>
            <w:r>
              <w:rPr>
                <w:rFonts w:hint="eastAsia" w:ascii="仿宋_GB2312" w:hAnsi="宋体" w:eastAsia="仿宋_GB2312"/>
                <w:color w:val="auto"/>
                <w:sz w:val="24"/>
              </w:rPr>
              <w:t>10%</w:t>
            </w:r>
          </w:p>
        </w:tc>
        <w:tc>
          <w:tcPr>
            <w:tcW w:w="805" w:type="pct"/>
            <w:vAlign w:val="center"/>
          </w:tcPr>
          <w:p>
            <w:pPr>
              <w:jc w:val="center"/>
              <w:rPr>
                <w:rFonts w:ascii="仿宋_GB2312" w:hAnsi="宋体" w:eastAsia="仿宋_GB2312"/>
                <w:color w:val="auto"/>
                <w:sz w:val="24"/>
              </w:rPr>
            </w:pPr>
            <w:r>
              <w:rPr>
                <w:rFonts w:hint="eastAsia" w:ascii="仿宋_GB2312" w:hAnsi="宋体" w:eastAsia="仿宋_GB2312"/>
                <w:color w:val="auto"/>
                <w:sz w:val="24"/>
              </w:rPr>
              <w:t>10%</w:t>
            </w:r>
          </w:p>
        </w:tc>
        <w:tc>
          <w:tcPr>
            <w:tcW w:w="661" w:type="pct"/>
            <w:vAlign w:val="center"/>
          </w:tcPr>
          <w:p>
            <w:pPr>
              <w:jc w:val="center"/>
              <w:rPr>
                <w:rFonts w:ascii="仿宋_GB2312" w:hAnsi="宋体" w:eastAsia="仿宋_GB2312"/>
                <w:color w:val="auto"/>
                <w:sz w:val="24"/>
              </w:rPr>
            </w:pPr>
            <w:r>
              <w:rPr>
                <w:rFonts w:hint="eastAsia" w:ascii="仿宋_GB2312" w:hAnsi="宋体" w:eastAsia="仿宋_GB2312"/>
                <w:color w:val="auto"/>
                <w:sz w:val="24"/>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1656" w:type="pct"/>
            <w:gridSpan w:val="2"/>
            <w:vAlign w:val="center"/>
          </w:tcPr>
          <w:p>
            <w:pPr>
              <w:jc w:val="center"/>
              <w:rPr>
                <w:rFonts w:ascii="仿宋_GB2312" w:hAnsi="宋体" w:eastAsia="仿宋_GB2312"/>
                <w:sz w:val="24"/>
              </w:rPr>
            </w:pPr>
            <w:r>
              <w:rPr>
                <w:rFonts w:hint="eastAsia" w:ascii="仿宋_GB2312" w:hAnsi="宋体" w:eastAsia="仿宋_GB2312"/>
                <w:sz w:val="24"/>
              </w:rPr>
              <w:t>合计</w:t>
            </w:r>
          </w:p>
        </w:tc>
        <w:tc>
          <w:tcPr>
            <w:tcW w:w="3344" w:type="pct"/>
            <w:gridSpan w:val="5"/>
            <w:vAlign w:val="center"/>
          </w:tcPr>
          <w:p>
            <w:pPr>
              <w:jc w:val="center"/>
              <w:rPr>
                <w:rFonts w:ascii="仿宋_GB2312" w:hAnsi="宋体" w:eastAsia="仿宋_GB2312"/>
                <w:sz w:val="24"/>
              </w:rPr>
            </w:pPr>
          </w:p>
        </w:tc>
      </w:tr>
    </w:tbl>
    <w:p>
      <w:pPr>
        <w:adjustRightInd w:val="0"/>
        <w:snapToGrid w:val="0"/>
        <w:spacing w:line="420" w:lineRule="exact"/>
        <w:ind w:left="-88" w:leftChars="-42"/>
        <w:jc w:val="right"/>
        <w:rPr>
          <w:rFonts w:ascii="宋体" w:hAnsi="宋体"/>
          <w:color w:val="000000"/>
          <w:szCs w:val="21"/>
        </w:rPr>
      </w:pPr>
      <w:r>
        <w:rPr>
          <w:rFonts w:hint="eastAsia" w:ascii="宋体" w:hAnsi="宋体"/>
          <w:color w:val="000000"/>
          <w:szCs w:val="21"/>
        </w:rPr>
        <w:t>金额单位：人民币元</w:t>
      </w:r>
    </w:p>
    <w:p>
      <w:pPr>
        <w:adjustRightInd w:val="0"/>
        <w:snapToGrid w:val="0"/>
        <w:spacing w:line="360" w:lineRule="auto"/>
        <w:ind w:right="23" w:rightChars="11"/>
        <w:rPr>
          <w:rFonts w:ascii="宋体" w:hAnsi="宋体" w:cs="宋体"/>
          <w:b/>
          <w:bCs/>
          <w:color w:val="000000"/>
        </w:rPr>
      </w:pPr>
      <w:r>
        <w:rPr>
          <w:rFonts w:hint="eastAsia" w:ascii="宋体" w:hAnsi="宋体" w:cs="宋体"/>
          <w:b/>
          <w:bCs/>
          <w:color w:val="000000"/>
        </w:rPr>
        <w:t>备注：合计=</w:t>
      </w:r>
      <w:r>
        <w:rPr>
          <w:rFonts w:hint="eastAsia" w:ascii="仿宋_GB2312" w:hAnsi="宋体" w:eastAsia="仿宋_GB2312"/>
          <w:b/>
          <w:bCs/>
          <w:sz w:val="24"/>
        </w:rPr>
        <w:t>∑单项报价合计*各权重</w:t>
      </w:r>
    </w:p>
    <w:p>
      <w:pPr>
        <w:widowControl/>
        <w:spacing w:line="480" w:lineRule="auto"/>
        <w:jc w:val="left"/>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480" w:lineRule="auto"/>
        <w:ind w:right="23" w:rightChars="11"/>
        <w:rPr>
          <w:rFonts w:ascii="宋体" w:hAnsi="宋体" w:cs="宋体"/>
          <w:color w:val="000000"/>
          <w:sz w:val="24"/>
          <w:u w:val="single"/>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480" w:lineRule="auto"/>
        <w:ind w:right="23" w:rightChars="11"/>
      </w:pPr>
      <w:bookmarkStart w:id="7" w:name="_Hlk160817732"/>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bookmarkEnd w:id="7"/>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p>
    <w:p>
      <w:pPr>
        <w:adjustRightInd w:val="0"/>
        <w:snapToGrid w:val="0"/>
        <w:spacing w:line="360" w:lineRule="auto"/>
        <w:rPr>
          <w:rFonts w:hint="eastAsia" w:ascii="黑体" w:hAnsi="黑体" w:eastAsia="黑体" w:cs="黑体"/>
          <w:b/>
          <w:color w:val="000000"/>
          <w:sz w:val="24"/>
        </w:rPr>
      </w:pPr>
    </w:p>
    <w:p>
      <w:pPr>
        <w:adjustRightInd w:val="0"/>
        <w:snapToGrid w:val="0"/>
        <w:spacing w:line="360" w:lineRule="auto"/>
        <w:rPr>
          <w:rFonts w:ascii="黑体" w:hAnsi="黑体" w:eastAsia="黑体" w:cs="黑体"/>
          <w:b/>
          <w:color w:val="000000"/>
          <w:sz w:val="24"/>
        </w:rPr>
      </w:pPr>
      <w:r>
        <w:rPr>
          <w:rFonts w:hint="eastAsia" w:ascii="黑体" w:hAnsi="黑体" w:eastAsia="黑体" w:cs="黑体"/>
          <w:b/>
          <w:color w:val="000000"/>
          <w:sz w:val="24"/>
        </w:rPr>
        <w:t>附件5</w:t>
      </w:r>
    </w:p>
    <w:p>
      <w:pPr>
        <w:adjustRightInd w:val="0"/>
        <w:snapToGrid w:val="0"/>
        <w:spacing w:before="156" w:beforeLines="50" w:line="360" w:lineRule="auto"/>
        <w:jc w:val="center"/>
        <w:rPr>
          <w:rFonts w:ascii="微软雅黑" w:hAnsi="微软雅黑" w:eastAsia="微软雅黑" w:cs="微软雅黑"/>
          <w:color w:val="000000"/>
          <w:sz w:val="28"/>
          <w:szCs w:val="28"/>
        </w:rPr>
      </w:pPr>
      <w:r>
        <w:rPr>
          <w:rFonts w:hint="eastAsia" w:ascii="微软雅黑" w:hAnsi="微软雅黑" w:eastAsia="微软雅黑" w:cs="微软雅黑"/>
          <w:b/>
          <w:color w:val="000000"/>
          <w:sz w:val="28"/>
          <w:szCs w:val="28"/>
        </w:rPr>
        <w:t>服务方案</w:t>
      </w:r>
    </w:p>
    <w:p>
      <w:pPr>
        <w:adjustRightInd w:val="0"/>
        <w:snapToGrid w:val="0"/>
        <w:jc w:val="center"/>
        <w:rPr>
          <w:rFonts w:ascii="宋体" w:hAnsi="宋体" w:cs="宋体"/>
          <w:b/>
          <w:sz w:val="30"/>
          <w:szCs w:val="30"/>
        </w:rPr>
      </w:pPr>
      <w:r>
        <w:rPr>
          <w:rFonts w:hint="eastAsia" w:ascii="宋体" w:hAnsi="宋体" w:cs="宋体"/>
          <w:b/>
          <w:sz w:val="30"/>
          <w:szCs w:val="30"/>
        </w:rPr>
        <w:t>服务方案说明</w:t>
      </w:r>
    </w:p>
    <w:p>
      <w:pPr>
        <w:adjustRightInd w:val="0"/>
        <w:snapToGrid w:val="0"/>
        <w:rPr>
          <w:rFonts w:ascii="宋体" w:hAnsi="宋体" w:cs="宋体"/>
          <w:szCs w:val="21"/>
        </w:rPr>
      </w:pPr>
    </w:p>
    <w:tbl>
      <w:tblPr>
        <w:tblStyle w:val="1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49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742" w:hRule="atLeast"/>
          <w:jc w:val="center"/>
        </w:trPr>
        <w:tc>
          <w:tcPr>
            <w:tcW w:w="8494" w:type="dxa"/>
          </w:tcPr>
          <w:p>
            <w:pPr>
              <w:spacing w:line="520" w:lineRule="exact"/>
              <w:ind w:firstLine="481"/>
              <w:jc w:val="center"/>
              <w:rPr>
                <w:rFonts w:ascii="宋体" w:hAnsi="宋体" w:cs="宋体"/>
                <w:szCs w:val="21"/>
              </w:rPr>
            </w:pPr>
            <w:r>
              <w:rPr>
                <w:rFonts w:hint="eastAsia" w:ascii="宋体" w:hAnsi="宋体" w:cs="宋体"/>
                <w:szCs w:val="21"/>
              </w:rPr>
              <w:t>格式自拟。</w:t>
            </w:r>
          </w:p>
          <w:p>
            <w:pPr>
              <w:spacing w:line="520" w:lineRule="exact"/>
              <w:ind w:firstLine="480"/>
              <w:rPr>
                <w:rFonts w:ascii="宋体" w:hAnsi="宋体" w:cs="宋体"/>
                <w:szCs w:val="21"/>
              </w:rPr>
            </w:pPr>
          </w:p>
        </w:tc>
      </w:tr>
    </w:tbl>
    <w:p>
      <w:pPr>
        <w:adjustRightInd w:val="0"/>
        <w:snapToGrid w:val="0"/>
        <w:spacing w:line="360" w:lineRule="auto"/>
        <w:rPr>
          <w:rFonts w:ascii="宋体" w:hAnsi="宋体"/>
          <w:bCs/>
          <w:color w:val="000000"/>
          <w:szCs w:val="21"/>
        </w:rPr>
      </w:pPr>
      <w:r>
        <w:rPr>
          <w:rFonts w:hint="eastAsia" w:ascii="宋体" w:hAnsi="宋体"/>
          <w:szCs w:val="21"/>
        </w:rPr>
        <w:t>各投标人根据采购人的需求和项目具体内容并结合评分要求及自身情况制定服务方案。</w:t>
      </w:r>
      <w:r>
        <w:rPr>
          <w:rFonts w:hint="eastAsia" w:ascii="宋体" w:hAnsi="宋体"/>
          <w:color w:val="000000"/>
          <w:szCs w:val="21"/>
        </w:rPr>
        <w:t xml:space="preserve">                     </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ind w:right="23" w:rightChars="11"/>
        <w:rPr>
          <w:rFonts w:ascii="宋体" w:hAnsi="宋体" w:cs="宋体"/>
          <w:color w:val="000000"/>
        </w:rPr>
      </w:pP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投标人（盖单位公章）：</w:t>
      </w:r>
    </w:p>
    <w:p>
      <w:pPr>
        <w:adjustRightInd w:val="0"/>
        <w:snapToGrid w:val="0"/>
        <w:spacing w:line="360" w:lineRule="auto"/>
        <w:ind w:right="23" w:rightChars="11" w:firstLine="480" w:firstLineChars="200"/>
        <w:rPr>
          <w:rFonts w:ascii="宋体" w:hAnsi="宋体" w:cs="宋体"/>
          <w:color w:val="000000"/>
          <w:sz w:val="24"/>
        </w:rPr>
      </w:pPr>
      <w:r>
        <w:rPr>
          <w:rFonts w:hint="eastAsia" w:ascii="宋体" w:hAnsi="宋体" w:cs="宋体"/>
          <w:color w:val="000000"/>
          <w:sz w:val="24"/>
        </w:rPr>
        <w:t>法定代表人或其委托代理人签字：</w:t>
      </w:r>
      <w:r>
        <w:rPr>
          <w:rFonts w:hint="eastAsia" w:ascii="宋体" w:hAnsi="宋体" w:cs="宋体"/>
          <w:color w:val="000000"/>
          <w:sz w:val="24"/>
          <w:u w:val="single"/>
        </w:rPr>
        <w:t xml:space="preserve">            </w:t>
      </w:r>
    </w:p>
    <w:p>
      <w:pPr>
        <w:adjustRightInd w:val="0"/>
        <w:snapToGrid w:val="0"/>
        <w:spacing w:line="360" w:lineRule="auto"/>
        <w:ind w:right="23" w:rightChars="11" w:firstLine="480" w:firstLineChars="200"/>
        <w:rPr>
          <w:rFonts w:ascii="宋体" w:hAnsi="宋体" w:cs="宋体"/>
          <w:bCs/>
          <w:color w:val="000000"/>
          <w:sz w:val="24"/>
        </w:rPr>
      </w:pPr>
      <w:r>
        <w:rPr>
          <w:rFonts w:hint="eastAsia" w:ascii="宋体" w:hAnsi="宋体" w:cs="宋体"/>
          <w:color w:val="000000"/>
          <w:sz w:val="24"/>
        </w:rPr>
        <w:t>日期：</w:t>
      </w:r>
      <w:r>
        <w:rPr>
          <w:rFonts w:hint="eastAsia" w:ascii="宋体" w:hAnsi="宋体" w:cs="宋体"/>
          <w:color w:val="000000"/>
          <w:sz w:val="24"/>
          <w:u w:val="single"/>
        </w:rPr>
        <w:t xml:space="preserve">          </w:t>
      </w:r>
      <w:r>
        <w:rPr>
          <w:rFonts w:hint="eastAsia" w:ascii="宋体" w:hAnsi="宋体" w:cs="宋体"/>
          <w:color w:val="000000"/>
          <w:sz w:val="24"/>
        </w:rPr>
        <w:t>年</w:t>
      </w:r>
      <w:r>
        <w:rPr>
          <w:rFonts w:hint="eastAsia" w:ascii="宋体" w:hAnsi="宋体" w:cs="宋体"/>
          <w:color w:val="000000"/>
          <w:sz w:val="24"/>
          <w:u w:val="single"/>
        </w:rPr>
        <w:t xml:space="preserve">          </w:t>
      </w:r>
      <w:r>
        <w:rPr>
          <w:rFonts w:hint="eastAsia" w:ascii="宋体" w:hAnsi="宋体" w:cs="宋体"/>
          <w:color w:val="000000"/>
          <w:sz w:val="24"/>
        </w:rPr>
        <w:t>月</w:t>
      </w:r>
      <w:r>
        <w:rPr>
          <w:rFonts w:hint="eastAsia" w:ascii="宋体" w:hAnsi="宋体" w:cs="宋体"/>
          <w:color w:val="000000"/>
          <w:sz w:val="24"/>
          <w:u w:val="single"/>
        </w:rPr>
        <w:t xml:space="preserve">            </w:t>
      </w:r>
      <w:r>
        <w:rPr>
          <w:rFonts w:hint="eastAsia" w:ascii="宋体" w:hAnsi="宋体" w:cs="宋体"/>
          <w:color w:val="000000"/>
          <w:sz w:val="24"/>
        </w:rPr>
        <w:t>日</w:t>
      </w: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adjustRightInd w:val="0"/>
        <w:snapToGrid w:val="0"/>
        <w:spacing w:line="360" w:lineRule="auto"/>
        <w:rPr>
          <w:rFonts w:ascii="宋体" w:hAnsi="宋体"/>
          <w:bCs/>
          <w:color w:val="000000"/>
          <w:szCs w:val="21"/>
        </w:rPr>
      </w:pPr>
    </w:p>
    <w:p>
      <w:pPr>
        <w:pStyle w:val="15"/>
        <w:tabs>
          <w:tab w:val="left" w:pos="3420"/>
        </w:tabs>
        <w:rPr>
          <w:rFonts w:ascii="宋体" w:hAnsi="宋体"/>
          <w:bCs/>
          <w:szCs w:val="21"/>
        </w:rPr>
      </w:pPr>
    </w:p>
    <w:p>
      <w:pPr>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pStyle w:val="3"/>
        <w:ind w:firstLine="480"/>
        <w:rPr>
          <w:rFonts w:ascii="宋体" w:hAnsi="宋体"/>
          <w:bCs/>
          <w:color w:val="000000"/>
          <w:szCs w:val="21"/>
        </w:rPr>
      </w:pPr>
    </w:p>
    <w:p>
      <w:pPr>
        <w:pStyle w:val="4"/>
      </w:pPr>
    </w:p>
    <w:p>
      <w:pPr>
        <w:pStyle w:val="4"/>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pStyle w:val="4"/>
        <w:rPr>
          <w:rFonts w:ascii="宋体" w:hAnsi="宋体"/>
          <w:bCs/>
          <w:color w:val="000000"/>
          <w:szCs w:val="21"/>
        </w:rPr>
      </w:pPr>
    </w:p>
    <w:p>
      <w:pPr>
        <w:adjustRightInd w:val="0"/>
        <w:snapToGrid w:val="0"/>
        <w:spacing w:line="360" w:lineRule="auto"/>
        <w:rPr>
          <w:rFonts w:ascii="宋体" w:hAnsi="宋体" w:cs="宋体"/>
          <w:b/>
          <w:bCs/>
          <w:sz w:val="28"/>
          <w:szCs w:val="28"/>
        </w:rPr>
      </w:pPr>
      <w:r>
        <w:rPr>
          <w:rFonts w:hint="eastAsia" w:ascii="黑体" w:hAnsi="黑体" w:eastAsia="黑体" w:cs="黑体"/>
          <w:b/>
          <w:color w:val="000000"/>
          <w:sz w:val="24"/>
        </w:rPr>
        <w:t>附件6 比选投标单位基本情况</w:t>
      </w:r>
    </w:p>
    <w:tbl>
      <w:tblPr>
        <w:tblStyle w:val="16"/>
        <w:tblW w:w="0" w:type="auto"/>
        <w:tblInd w:w="8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6" w:hRule="atLeast"/>
        </w:trPr>
        <w:tc>
          <w:tcPr>
            <w:tcW w:w="9137" w:type="dxa"/>
          </w:tcPr>
          <w:p>
            <w:pPr>
              <w:spacing w:line="360" w:lineRule="auto"/>
              <w:ind w:firstLine="640" w:firstLineChars="200"/>
              <w:rPr>
                <w:rFonts w:ascii="仿宋_GB2312" w:eastAsia="仿宋_GB2312"/>
                <w:sz w:val="32"/>
                <w:szCs w:val="32"/>
              </w:rPr>
            </w:pPr>
          </w:p>
        </w:tc>
      </w:tr>
    </w:tbl>
    <w:p>
      <w:pPr>
        <w:spacing w:line="360" w:lineRule="auto"/>
        <w:ind w:firstLine="640" w:firstLineChars="200"/>
        <w:rPr>
          <w:rFonts w:ascii="仿宋_GB2312" w:eastAsia="仿宋_GB2312"/>
          <w:sz w:val="32"/>
          <w:szCs w:val="32"/>
        </w:rPr>
      </w:pPr>
    </w:p>
    <w:p>
      <w:pPr>
        <w:spacing w:line="360" w:lineRule="auto"/>
        <w:ind w:firstLine="480" w:firstLineChars="200"/>
        <w:rPr>
          <w:rFonts w:ascii="宋体" w:hAnsi="宋体" w:cs="宋体"/>
          <w:sz w:val="24"/>
        </w:rPr>
      </w:pPr>
      <w:r>
        <w:rPr>
          <w:rFonts w:hint="eastAsia" w:ascii="宋体" w:hAnsi="宋体" w:cs="宋体"/>
          <w:sz w:val="24"/>
        </w:rPr>
        <w:t>比选投标单位法定代表人或被授权人（签字）：</w:t>
      </w:r>
    </w:p>
    <w:p>
      <w:pPr>
        <w:spacing w:line="360" w:lineRule="auto"/>
        <w:ind w:firstLine="480" w:firstLineChars="200"/>
        <w:rPr>
          <w:rFonts w:ascii="宋体" w:hAnsi="宋体" w:cs="宋体"/>
          <w:sz w:val="24"/>
        </w:rPr>
      </w:pPr>
    </w:p>
    <w:p>
      <w:pPr>
        <w:spacing w:line="360" w:lineRule="auto"/>
        <w:ind w:firstLine="480" w:firstLineChars="200"/>
        <w:rPr>
          <w:rFonts w:ascii="宋体" w:hAnsi="宋体" w:cs="宋体"/>
          <w:sz w:val="24"/>
        </w:rPr>
      </w:pPr>
      <w:r>
        <w:rPr>
          <w:rFonts w:hint="eastAsia" w:ascii="宋体" w:hAnsi="宋体" w:cs="宋体"/>
          <w:sz w:val="24"/>
        </w:rPr>
        <w:t>比选投标单位（盖章）：</w:t>
      </w:r>
    </w:p>
    <w:p>
      <w:pPr>
        <w:spacing w:line="360" w:lineRule="auto"/>
        <w:ind w:firstLine="480" w:firstLineChars="200"/>
        <w:rPr>
          <w:rFonts w:ascii="宋体" w:hAnsi="宋体" w:cs="宋体"/>
          <w:sz w:val="24"/>
        </w:rPr>
      </w:pPr>
      <w:r>
        <w:rPr>
          <w:rFonts w:hint="eastAsia" w:ascii="宋体" w:hAnsi="宋体" w:cs="宋体"/>
          <w:sz w:val="24"/>
        </w:rPr>
        <w:t xml:space="preserve">                                      年    月    日</w:t>
      </w:r>
    </w:p>
    <w:p>
      <w:pPr>
        <w:spacing w:line="360" w:lineRule="auto"/>
        <w:ind w:firstLine="480" w:firstLineChars="200"/>
        <w:rPr>
          <w:rFonts w:ascii="仿宋_GB2312" w:eastAsia="仿宋_GB2312"/>
          <w:sz w:val="24"/>
        </w:rPr>
      </w:pPr>
    </w:p>
    <w:p>
      <w:pPr>
        <w:pStyle w:val="4"/>
        <w:rPr>
          <w:rFonts w:hAnsi="黑体" w:cs="黑体"/>
          <w:b/>
          <w:color w:val="000000"/>
          <w:sz w:val="24"/>
        </w:rPr>
      </w:pPr>
    </w:p>
    <w:p>
      <w:pPr>
        <w:pStyle w:val="4"/>
        <w:rPr>
          <w:rFonts w:hAnsi="黑体" w:cs="黑体"/>
          <w:b/>
          <w:color w:val="000000"/>
          <w:sz w:val="24"/>
        </w:rPr>
      </w:pPr>
    </w:p>
    <w:p>
      <w:pPr>
        <w:pStyle w:val="4"/>
        <w:rPr>
          <w:rFonts w:hAnsi="黑体" w:cs="黑体"/>
          <w:b/>
          <w:color w:val="000000"/>
          <w:sz w:val="24"/>
        </w:rPr>
      </w:pPr>
    </w:p>
    <w:p/>
    <w:p/>
    <w:p>
      <w:pPr>
        <w:spacing w:line="500" w:lineRule="exact"/>
        <w:ind w:firstLine="482" w:firstLineChars="200"/>
        <w:rPr>
          <w:rFonts w:ascii="宋体" w:hAnsi="宋体" w:cs="宋体"/>
          <w:sz w:val="24"/>
        </w:rPr>
      </w:pPr>
      <w:r>
        <w:rPr>
          <w:rFonts w:hint="eastAsia" w:ascii="宋体" w:hAnsi="宋体" w:cs="宋体"/>
          <w:b/>
          <w:sz w:val="24"/>
        </w:rPr>
        <w:t>九、比选投标须知</w:t>
      </w:r>
    </w:p>
    <w:p>
      <w:pPr>
        <w:spacing w:line="360" w:lineRule="auto"/>
        <w:ind w:firstLine="480" w:firstLineChars="200"/>
        <w:rPr>
          <w:rFonts w:ascii="宋体" w:hAnsi="宋体" w:cs="宋体"/>
          <w:sz w:val="24"/>
        </w:rPr>
      </w:pPr>
      <w:r>
        <w:rPr>
          <w:rFonts w:hint="eastAsia" w:ascii="宋体" w:hAnsi="宋体" w:cs="宋体"/>
          <w:sz w:val="24"/>
        </w:rPr>
        <w:t>（1）投标费用</w:t>
      </w:r>
    </w:p>
    <w:p>
      <w:pPr>
        <w:spacing w:line="360" w:lineRule="auto"/>
        <w:ind w:firstLine="480" w:firstLineChars="200"/>
        <w:rPr>
          <w:rFonts w:ascii="宋体" w:hAnsi="宋体" w:cs="宋体"/>
          <w:sz w:val="24"/>
        </w:rPr>
      </w:pPr>
      <w:r>
        <w:rPr>
          <w:rFonts w:hint="eastAsia" w:ascii="宋体" w:hAnsi="宋体" w:cs="宋体"/>
          <w:sz w:val="24"/>
        </w:rPr>
        <w:t>投标人参加比选项目所产生的一切费用，不论其结果如何，概由投标人自理。</w:t>
      </w:r>
    </w:p>
    <w:p>
      <w:pPr>
        <w:spacing w:line="360" w:lineRule="auto"/>
        <w:ind w:firstLine="480" w:firstLineChars="200"/>
        <w:rPr>
          <w:rFonts w:ascii="宋体" w:hAnsi="宋体" w:cs="宋体"/>
          <w:sz w:val="24"/>
        </w:rPr>
      </w:pPr>
      <w:r>
        <w:rPr>
          <w:rFonts w:hint="eastAsia" w:ascii="宋体" w:hAnsi="宋体" w:cs="宋体"/>
          <w:sz w:val="24"/>
        </w:rPr>
        <w:t>（2）投标单位应在报名期间认真审阅比选文件。如果投标单位没有实质上不响应比选文件的要求，将被视为不合格投标人。</w:t>
      </w:r>
    </w:p>
    <w:p>
      <w:pPr>
        <w:spacing w:line="360" w:lineRule="auto"/>
        <w:ind w:firstLine="480" w:firstLineChars="200"/>
        <w:rPr>
          <w:rFonts w:ascii="宋体" w:hAnsi="宋体" w:cs="宋体"/>
          <w:sz w:val="24"/>
        </w:rPr>
      </w:pPr>
      <w:r>
        <w:rPr>
          <w:rFonts w:hint="eastAsia" w:ascii="宋体" w:hAnsi="宋体" w:cs="宋体"/>
          <w:sz w:val="24"/>
        </w:rPr>
        <w:t>（3）比选文件的解释和澄清</w:t>
      </w:r>
    </w:p>
    <w:p>
      <w:pPr>
        <w:spacing w:line="360" w:lineRule="auto"/>
        <w:ind w:firstLine="480" w:firstLineChars="200"/>
        <w:rPr>
          <w:rFonts w:ascii="宋体" w:hAnsi="宋体" w:cs="宋体"/>
          <w:sz w:val="24"/>
        </w:rPr>
      </w:pPr>
      <w:r>
        <w:rPr>
          <w:rFonts w:hint="eastAsia" w:ascii="宋体" w:hAnsi="宋体" w:cs="宋体"/>
          <w:sz w:val="24"/>
        </w:rPr>
        <w:t>招标人提供的有关资料和数据是招标人现有的能使投标人利用的资料。投标人对比选文件所作的任何推论、解释和结论，招标人概不负责。投标人因对比选文件的任何推论、误解以及招标人对有关问题的口头解释所造成的后果，均由投标人自负。实质上不响应招标文件要求的投标文件将被拒绝。</w:t>
      </w:r>
    </w:p>
    <w:p>
      <w:pPr>
        <w:spacing w:line="360" w:lineRule="auto"/>
        <w:ind w:firstLine="482" w:firstLineChars="200"/>
        <w:rPr>
          <w:rFonts w:ascii="宋体" w:hAnsi="宋体" w:cs="宋体"/>
          <w:b/>
          <w:bCs/>
          <w:sz w:val="24"/>
        </w:rPr>
      </w:pPr>
      <w:r>
        <w:rPr>
          <w:rFonts w:hint="eastAsia" w:ascii="宋体" w:hAnsi="宋体" w:cs="宋体"/>
          <w:b/>
          <w:bCs/>
          <w:sz w:val="24"/>
        </w:rPr>
        <w:t>十、投标纪律</w:t>
      </w:r>
    </w:p>
    <w:p>
      <w:pPr>
        <w:spacing w:line="360" w:lineRule="auto"/>
        <w:ind w:firstLine="480" w:firstLineChars="200"/>
        <w:rPr>
          <w:rFonts w:ascii="宋体" w:hAnsi="宋体" w:cs="宋体"/>
          <w:sz w:val="24"/>
        </w:rPr>
      </w:pPr>
      <w:r>
        <w:rPr>
          <w:rFonts w:hint="eastAsia" w:ascii="宋体" w:hAnsi="宋体" w:cs="宋体"/>
          <w:sz w:val="24"/>
        </w:rPr>
        <w:t>1、投标单位不得对招标单位、评标人员施加任何影响，否则将取消其投标资格；</w:t>
      </w:r>
    </w:p>
    <w:p>
      <w:pPr>
        <w:spacing w:line="360" w:lineRule="auto"/>
        <w:ind w:firstLine="480" w:firstLineChars="200"/>
        <w:rPr>
          <w:rFonts w:ascii="宋体" w:hAnsi="宋体" w:cs="宋体"/>
          <w:sz w:val="24"/>
        </w:rPr>
      </w:pPr>
      <w:r>
        <w:rPr>
          <w:rFonts w:hint="eastAsia" w:ascii="宋体" w:hAnsi="宋体" w:cs="宋体"/>
          <w:sz w:val="24"/>
        </w:rPr>
        <w:t>2、投标单位不得以挂靠单位、转让证件等形式参与投标，否则其投标无效；</w:t>
      </w:r>
    </w:p>
    <w:p>
      <w:pPr>
        <w:spacing w:line="360" w:lineRule="auto"/>
        <w:ind w:firstLine="480" w:firstLineChars="200"/>
        <w:rPr>
          <w:rFonts w:ascii="宋体" w:hAnsi="宋体" w:cs="宋体"/>
          <w:sz w:val="24"/>
        </w:rPr>
      </w:pPr>
      <w:r>
        <w:rPr>
          <w:rFonts w:hint="eastAsia" w:ascii="宋体" w:hAnsi="宋体" w:cs="宋体"/>
          <w:sz w:val="24"/>
        </w:rPr>
        <w:t>3、投标单位中标后未经招标人书面同意，转让招标代理业务的，将取消其中标资格；</w:t>
      </w:r>
    </w:p>
    <w:p>
      <w:pPr>
        <w:spacing w:line="360" w:lineRule="auto"/>
        <w:ind w:firstLine="480" w:firstLineChars="200"/>
        <w:rPr>
          <w:rFonts w:ascii="宋体" w:hAnsi="宋体" w:cs="宋体"/>
          <w:sz w:val="24"/>
        </w:rPr>
      </w:pPr>
      <w:r>
        <w:rPr>
          <w:rFonts w:hint="eastAsia" w:ascii="宋体" w:hAnsi="宋体" w:cs="宋体"/>
          <w:sz w:val="24"/>
        </w:rPr>
        <w:t>4、各投标单位必须遵守招标单位的一切会议安排，不得以任何理由、任何手段干预、扰乱会场，否则取消其投标资格；</w:t>
      </w:r>
    </w:p>
    <w:p>
      <w:pPr>
        <w:spacing w:line="360" w:lineRule="auto"/>
        <w:ind w:firstLine="480" w:firstLineChars="200"/>
        <w:rPr>
          <w:rFonts w:ascii="宋体" w:hAnsi="宋体" w:cs="宋体"/>
          <w:sz w:val="24"/>
        </w:rPr>
      </w:pPr>
      <w:r>
        <w:rPr>
          <w:rFonts w:hint="eastAsia" w:ascii="宋体" w:hAnsi="宋体" w:cs="宋体"/>
          <w:sz w:val="24"/>
        </w:rPr>
        <w:t>5、投标书中的一切证明、证件必须真实可靠，否则取消其投标资格；</w:t>
      </w:r>
    </w:p>
    <w:p>
      <w:pPr>
        <w:spacing w:line="360" w:lineRule="auto"/>
        <w:ind w:firstLine="480" w:firstLineChars="200"/>
        <w:rPr>
          <w:rFonts w:ascii="宋体" w:hAnsi="宋体" w:cs="宋体"/>
          <w:sz w:val="24"/>
        </w:rPr>
      </w:pPr>
      <w:r>
        <w:rPr>
          <w:rFonts w:hint="eastAsia" w:ascii="宋体" w:hAnsi="宋体" w:cs="宋体"/>
          <w:sz w:val="24"/>
        </w:rPr>
        <w:t>6、投标单位法定代表人或其委托代理人参加本项目招标的一切活动，必须出示单位法定代表人身份证明、有效身份证或盖有法定代表人私章（签名）并</w:t>
      </w:r>
      <w:bookmarkStart w:id="8" w:name="OLE_LINK1"/>
      <w:r>
        <w:rPr>
          <w:rFonts w:hint="eastAsia" w:ascii="宋体" w:hAnsi="宋体" w:cs="宋体"/>
          <w:sz w:val="24"/>
        </w:rPr>
        <w:t>盖投标单位公章</w:t>
      </w:r>
      <w:bookmarkEnd w:id="8"/>
      <w:r>
        <w:rPr>
          <w:rFonts w:hint="eastAsia" w:ascii="宋体" w:hAnsi="宋体" w:cs="宋体"/>
          <w:sz w:val="24"/>
        </w:rPr>
        <w:t>的授权委托书、委托代理人身份证。</w:t>
      </w:r>
    </w:p>
    <w:p>
      <w:pPr>
        <w:spacing w:line="360" w:lineRule="auto"/>
        <w:ind w:firstLine="482" w:firstLineChars="200"/>
        <w:rPr>
          <w:rFonts w:ascii="宋体" w:hAnsi="宋体" w:cs="宋体"/>
          <w:b/>
          <w:bCs/>
          <w:sz w:val="24"/>
        </w:rPr>
      </w:pPr>
      <w:r>
        <w:rPr>
          <w:rFonts w:hint="eastAsia" w:ascii="宋体" w:hAnsi="宋体" w:cs="宋体"/>
          <w:b/>
          <w:bCs/>
          <w:sz w:val="24"/>
        </w:rPr>
        <w:t>十一、比选投标文件的编制要求</w:t>
      </w:r>
    </w:p>
    <w:p>
      <w:pPr>
        <w:spacing w:line="360" w:lineRule="auto"/>
        <w:ind w:firstLine="480" w:firstLineChars="200"/>
        <w:rPr>
          <w:rFonts w:ascii="宋体" w:hAnsi="宋体" w:cs="宋体"/>
          <w:sz w:val="24"/>
        </w:rPr>
      </w:pPr>
      <w:r>
        <w:rPr>
          <w:rFonts w:hint="eastAsia" w:ascii="宋体" w:hAnsi="宋体" w:cs="宋体"/>
          <w:sz w:val="24"/>
        </w:rPr>
        <w:t>比选投标文件的组成。投标文件包括商务标和技术标两部分，商务标和技术标可装订为一本。</w:t>
      </w:r>
    </w:p>
    <w:p>
      <w:pPr>
        <w:spacing w:line="360" w:lineRule="auto"/>
        <w:ind w:firstLine="480" w:firstLineChars="200"/>
        <w:rPr>
          <w:rFonts w:ascii="宋体" w:hAnsi="宋体" w:cs="宋体"/>
          <w:sz w:val="24"/>
        </w:rPr>
      </w:pPr>
      <w:r>
        <w:rPr>
          <w:rFonts w:hint="eastAsia" w:ascii="宋体" w:hAnsi="宋体" w:cs="宋体"/>
          <w:sz w:val="24"/>
        </w:rPr>
        <w:t>（一）商务标部份应包括下列内容：</w:t>
      </w:r>
    </w:p>
    <w:p>
      <w:pPr>
        <w:spacing w:line="360" w:lineRule="auto"/>
        <w:ind w:firstLine="480" w:firstLineChars="200"/>
        <w:rPr>
          <w:rFonts w:ascii="宋体" w:hAnsi="宋体" w:cs="宋体"/>
          <w:sz w:val="24"/>
        </w:rPr>
      </w:pPr>
      <w:r>
        <w:rPr>
          <w:rFonts w:hint="eastAsia" w:ascii="宋体" w:hAnsi="宋体" w:cs="宋体"/>
          <w:sz w:val="24"/>
        </w:rPr>
        <w:t>1、参加比选的代表不是法定代表人的，须有法定代表人签署的授权委托书并加盖单位公章，并附法定代表人有效身份证和被授权人有效身份证复印件；</w:t>
      </w:r>
    </w:p>
    <w:p>
      <w:pPr>
        <w:spacing w:line="360" w:lineRule="auto"/>
        <w:ind w:firstLine="480" w:firstLineChars="200"/>
        <w:rPr>
          <w:rFonts w:ascii="宋体" w:hAnsi="宋体" w:cs="宋体"/>
          <w:sz w:val="24"/>
        </w:rPr>
      </w:pPr>
      <w:r>
        <w:rPr>
          <w:rFonts w:hint="eastAsia" w:ascii="宋体" w:hAnsi="宋体" w:cs="宋体"/>
          <w:sz w:val="24"/>
        </w:rPr>
        <w:t>2、服务承诺书；</w:t>
      </w:r>
    </w:p>
    <w:p>
      <w:pPr>
        <w:pStyle w:val="4"/>
      </w:pPr>
      <w:r>
        <w:rPr>
          <w:rFonts w:hint="eastAsia" w:ascii="宋体" w:hAnsi="宋体" w:eastAsia="宋体" w:cs="宋体"/>
          <w:kern w:val="2"/>
          <w:sz w:val="24"/>
          <w:szCs w:val="24"/>
        </w:rPr>
        <w:t xml:space="preserve">    3、服务方案；</w:t>
      </w:r>
    </w:p>
    <w:p>
      <w:pPr>
        <w:spacing w:line="360" w:lineRule="auto"/>
        <w:ind w:firstLine="480" w:firstLineChars="200"/>
        <w:rPr>
          <w:rFonts w:ascii="宋体" w:hAnsi="宋体" w:cs="宋体"/>
          <w:sz w:val="24"/>
        </w:rPr>
      </w:pPr>
      <w:r>
        <w:rPr>
          <w:rFonts w:hint="eastAsia" w:ascii="宋体" w:hAnsi="宋体" w:cs="宋体"/>
          <w:sz w:val="24"/>
        </w:rPr>
        <w:t>4、比选投标单位基本情况；</w:t>
      </w:r>
    </w:p>
    <w:p>
      <w:pPr>
        <w:spacing w:line="360" w:lineRule="auto"/>
        <w:ind w:firstLine="480" w:firstLineChars="200"/>
        <w:rPr>
          <w:rFonts w:ascii="宋体" w:hAnsi="宋体" w:cs="宋体"/>
          <w:sz w:val="24"/>
        </w:rPr>
      </w:pPr>
      <w:r>
        <w:rPr>
          <w:rFonts w:hint="eastAsia" w:ascii="宋体" w:hAnsi="宋体" w:cs="宋体"/>
          <w:sz w:val="24"/>
        </w:rPr>
        <w:t>5、比选投标单位近三年来成功案例业绩证明资料；</w:t>
      </w:r>
    </w:p>
    <w:p>
      <w:pPr>
        <w:spacing w:line="360" w:lineRule="auto"/>
        <w:ind w:firstLine="480" w:firstLineChars="200"/>
        <w:rPr>
          <w:rFonts w:ascii="宋体" w:hAnsi="宋体" w:cs="宋体"/>
          <w:sz w:val="24"/>
        </w:rPr>
      </w:pPr>
      <w:r>
        <w:rPr>
          <w:rFonts w:hint="eastAsia" w:ascii="宋体" w:hAnsi="宋体" w:cs="宋体"/>
          <w:sz w:val="24"/>
        </w:rPr>
        <w:t>6、比选投标单位拟委派项目负责人及相关人员资格情况一览表（包括：姓名、性别、出生年月、学历、职称、执业资格、身份证编号），并提供员工近三个月缴纳社保证明资料及相应学历、职称、执业资格、身份证的复印件（加盖投标单位公章）；</w:t>
      </w:r>
    </w:p>
    <w:p>
      <w:pPr>
        <w:spacing w:line="360" w:lineRule="auto"/>
        <w:ind w:firstLine="480" w:firstLineChars="200"/>
        <w:rPr>
          <w:rFonts w:ascii="宋体" w:hAnsi="宋体" w:cs="宋体"/>
          <w:sz w:val="24"/>
        </w:rPr>
      </w:pPr>
      <w:r>
        <w:rPr>
          <w:rFonts w:hint="eastAsia" w:ascii="宋体" w:hAnsi="宋体" w:cs="宋体"/>
          <w:sz w:val="24"/>
        </w:rPr>
        <w:t>7、比选投标单位相关企业证书（企业法人营业执照副本、企业法人组织机构代码证、</w:t>
      </w:r>
      <w:r>
        <w:rPr>
          <w:rFonts w:hint="eastAsia" w:ascii="宋体" w:hAnsi="宋体" w:cs="宋体"/>
          <w:sz w:val="24"/>
          <w:highlight w:val="green"/>
        </w:rPr>
        <w:t>电子卖场（提供相关网上截图）</w:t>
      </w:r>
      <w:r>
        <w:rPr>
          <w:rFonts w:hint="eastAsia" w:ascii="宋体" w:hAnsi="宋体" w:cs="宋体"/>
          <w:sz w:val="24"/>
        </w:rPr>
        <w:t>等的复印件）；</w:t>
      </w:r>
    </w:p>
    <w:p>
      <w:pPr>
        <w:spacing w:line="360" w:lineRule="auto"/>
        <w:ind w:firstLine="480" w:firstLineChars="200"/>
        <w:rPr>
          <w:rFonts w:ascii="宋体" w:hAnsi="宋体" w:cs="宋体"/>
          <w:sz w:val="24"/>
        </w:rPr>
      </w:pPr>
      <w:r>
        <w:rPr>
          <w:rFonts w:hint="eastAsia" w:ascii="宋体" w:hAnsi="宋体" w:cs="宋体"/>
          <w:sz w:val="24"/>
        </w:rPr>
        <w:t>8、特定资格证明文件；</w:t>
      </w:r>
    </w:p>
    <w:p>
      <w:pPr>
        <w:spacing w:line="360" w:lineRule="auto"/>
        <w:ind w:firstLine="480" w:firstLineChars="200"/>
        <w:rPr>
          <w:rFonts w:ascii="宋体" w:hAnsi="宋体" w:cs="宋体"/>
          <w:sz w:val="24"/>
        </w:rPr>
      </w:pPr>
      <w:r>
        <w:rPr>
          <w:rFonts w:hint="eastAsia" w:ascii="宋体" w:hAnsi="宋体" w:cs="宋体"/>
          <w:sz w:val="24"/>
        </w:rPr>
        <w:t>9、投标单位认为需要提供的其他资料文件。</w:t>
      </w:r>
    </w:p>
    <w:p>
      <w:pPr>
        <w:spacing w:line="360" w:lineRule="auto"/>
        <w:ind w:firstLine="480" w:firstLineChars="200"/>
        <w:rPr>
          <w:rFonts w:ascii="宋体" w:hAnsi="宋体" w:cs="宋体"/>
          <w:sz w:val="24"/>
        </w:rPr>
      </w:pPr>
      <w:r>
        <w:rPr>
          <w:rFonts w:hint="eastAsia" w:ascii="宋体" w:hAnsi="宋体" w:cs="宋体"/>
          <w:sz w:val="24"/>
        </w:rPr>
        <w:t>（二）技术部分由投标单位自行编制。</w:t>
      </w:r>
    </w:p>
    <w:p>
      <w:pPr>
        <w:spacing w:line="360" w:lineRule="auto"/>
        <w:ind w:firstLine="480" w:firstLineChars="200"/>
        <w:rPr>
          <w:rFonts w:ascii="宋体" w:hAnsi="宋体" w:cs="宋体"/>
          <w:sz w:val="24"/>
        </w:rPr>
      </w:pPr>
      <w:r>
        <w:rPr>
          <w:rFonts w:hint="eastAsia" w:ascii="宋体" w:hAnsi="宋体" w:cs="宋体"/>
          <w:sz w:val="24"/>
        </w:rPr>
        <w:t>注：各比选</w:t>
      </w:r>
      <w:bookmarkStart w:id="9" w:name="OLE_LINK3"/>
      <w:r>
        <w:rPr>
          <w:rFonts w:hint="eastAsia" w:ascii="宋体" w:hAnsi="宋体" w:cs="宋体"/>
          <w:sz w:val="24"/>
        </w:rPr>
        <w:t>投标单位</w:t>
      </w:r>
      <w:bookmarkEnd w:id="9"/>
      <w:r>
        <w:rPr>
          <w:rFonts w:hint="eastAsia" w:ascii="宋体" w:hAnsi="宋体" w:cs="宋体"/>
          <w:sz w:val="24"/>
        </w:rPr>
        <w:t>应保证上述资料的真实、可靠，如提供的资料和数据出现弄虚作假的情况即取消比选资格或中标候选人资格。</w:t>
      </w:r>
    </w:p>
    <w:p>
      <w:pPr>
        <w:spacing w:line="360" w:lineRule="auto"/>
        <w:ind w:firstLine="482" w:firstLineChars="200"/>
        <w:rPr>
          <w:rFonts w:ascii="宋体" w:hAnsi="宋体" w:cs="宋体"/>
          <w:b/>
          <w:bCs/>
          <w:sz w:val="24"/>
        </w:rPr>
      </w:pPr>
      <w:r>
        <w:rPr>
          <w:rFonts w:hint="eastAsia" w:ascii="宋体" w:hAnsi="宋体" w:cs="宋体"/>
          <w:b/>
          <w:bCs/>
          <w:sz w:val="24"/>
        </w:rPr>
        <w:t>十二、比选投标文件的份数与签署</w:t>
      </w:r>
    </w:p>
    <w:p>
      <w:pPr>
        <w:spacing w:line="360" w:lineRule="auto"/>
        <w:ind w:firstLine="480" w:firstLineChars="200"/>
        <w:rPr>
          <w:rFonts w:ascii="宋体" w:hAnsi="宋体" w:cs="宋体"/>
          <w:sz w:val="24"/>
        </w:rPr>
      </w:pPr>
      <w:r>
        <w:rPr>
          <w:rFonts w:hint="eastAsia" w:ascii="宋体" w:hAnsi="宋体" w:cs="宋体"/>
          <w:sz w:val="24"/>
        </w:rPr>
        <w:t>（1）比选投标文件一正三副，字迹应清晰易于辨认,并清楚地注明“正本”或“副本”，正本的签署应完好无缺；正本和副本如有不一致之处，以正本为准；如未注明“正本”或“副本”，且投标文件中实质性内容表述不一致的，则视为不合格投标人。</w:t>
      </w:r>
    </w:p>
    <w:p>
      <w:pPr>
        <w:spacing w:line="360" w:lineRule="auto"/>
        <w:ind w:firstLine="480" w:firstLineChars="200"/>
        <w:rPr>
          <w:rFonts w:ascii="宋体" w:hAnsi="宋体" w:cs="宋体"/>
          <w:sz w:val="24"/>
        </w:rPr>
      </w:pPr>
      <w:r>
        <w:rPr>
          <w:rFonts w:hint="eastAsia" w:ascii="宋体" w:hAnsi="宋体" w:cs="宋体"/>
          <w:sz w:val="24"/>
        </w:rPr>
        <w:t xml:space="preserve">（2）投标文件（内封面或外封面）、比选承诺函应加盖投标单位公章，并由法定代表人或其委托人签字或盖章，否则视为不合格投标人。 </w:t>
      </w:r>
    </w:p>
    <w:p>
      <w:pPr>
        <w:spacing w:line="360" w:lineRule="auto"/>
        <w:ind w:firstLine="480" w:firstLineChars="200"/>
        <w:rPr>
          <w:rFonts w:ascii="宋体" w:hAnsi="宋体" w:cs="宋体"/>
          <w:sz w:val="24"/>
        </w:rPr>
      </w:pPr>
      <w:r>
        <w:rPr>
          <w:rFonts w:hint="eastAsia" w:ascii="宋体" w:hAnsi="宋体" w:cs="宋体"/>
          <w:sz w:val="24"/>
        </w:rPr>
        <w:t>(3)除投标人对商务标错误处须修改外，全套投标文件应无涂改或行间插字和增删。如有修改，修改处应由投标人加盖公章或由投标文件签署人签字并盖章，否则其修改的内容无效。</w:t>
      </w:r>
    </w:p>
    <w:p>
      <w:pPr>
        <w:spacing w:line="360" w:lineRule="auto"/>
        <w:ind w:firstLine="480" w:firstLineChars="200"/>
        <w:rPr>
          <w:rFonts w:ascii="宋体" w:hAnsi="宋体" w:cs="宋体"/>
          <w:sz w:val="24"/>
        </w:rPr>
      </w:pPr>
      <w:r>
        <w:rPr>
          <w:rFonts w:hint="eastAsia" w:ascii="宋体" w:hAnsi="宋体" w:cs="宋体"/>
          <w:sz w:val="24"/>
        </w:rPr>
        <w:t>(4)电报、电话或传真形式的投标，招标人概不接受。</w:t>
      </w:r>
    </w:p>
    <w:p>
      <w:pPr>
        <w:spacing w:line="360" w:lineRule="auto"/>
        <w:ind w:firstLine="482" w:firstLineChars="200"/>
        <w:rPr>
          <w:rFonts w:ascii="宋体" w:hAnsi="宋体" w:cs="宋体"/>
          <w:b/>
          <w:bCs/>
          <w:sz w:val="24"/>
        </w:rPr>
      </w:pPr>
      <w:r>
        <w:rPr>
          <w:rFonts w:hint="eastAsia" w:ascii="宋体" w:hAnsi="宋体" w:cs="宋体"/>
          <w:b/>
          <w:bCs/>
          <w:sz w:val="24"/>
        </w:rPr>
        <w:t>十三、投标文件的密封与递交</w:t>
      </w:r>
    </w:p>
    <w:p>
      <w:pPr>
        <w:spacing w:line="360" w:lineRule="auto"/>
        <w:ind w:firstLine="480" w:firstLineChars="200"/>
        <w:rPr>
          <w:rFonts w:ascii="宋体" w:hAnsi="宋体" w:cs="宋体"/>
          <w:sz w:val="24"/>
        </w:rPr>
      </w:pPr>
      <w:r>
        <w:rPr>
          <w:rFonts w:hint="eastAsia" w:ascii="宋体" w:hAnsi="宋体" w:cs="宋体"/>
          <w:sz w:val="24"/>
        </w:rPr>
        <w:t>(1)投标文件的装订密封和标记</w:t>
      </w:r>
    </w:p>
    <w:p>
      <w:pPr>
        <w:spacing w:line="360" w:lineRule="auto"/>
        <w:ind w:firstLine="480" w:firstLineChars="200"/>
        <w:rPr>
          <w:rFonts w:ascii="宋体" w:hAnsi="宋体" w:cs="宋体"/>
          <w:sz w:val="24"/>
        </w:rPr>
      </w:pPr>
      <w:r>
        <w:rPr>
          <w:rFonts w:hint="eastAsia" w:ascii="宋体" w:hAnsi="宋体" w:cs="宋体"/>
          <w:sz w:val="24"/>
        </w:rPr>
        <w:t>投标人应将投标文件密封包装。</w:t>
      </w:r>
    </w:p>
    <w:p>
      <w:pPr>
        <w:spacing w:line="360" w:lineRule="auto"/>
        <w:ind w:firstLine="480" w:firstLineChars="200"/>
        <w:rPr>
          <w:rFonts w:ascii="宋体" w:hAnsi="宋体" w:cs="宋体"/>
          <w:sz w:val="24"/>
        </w:rPr>
      </w:pPr>
      <w:r>
        <w:rPr>
          <w:rFonts w:hint="eastAsia" w:ascii="宋体" w:hAnsi="宋体" w:cs="宋体"/>
          <w:sz w:val="24"/>
        </w:rPr>
        <w:t>投标文件封皮上应注明招标项目名称、投标人名称。投标文件密封袋应密封完整，并在封口处加盖投标人公章和法定代表人或委托代理人签字（或印章）。</w:t>
      </w:r>
    </w:p>
    <w:p>
      <w:pPr>
        <w:spacing w:line="360" w:lineRule="auto"/>
        <w:ind w:firstLine="480" w:firstLineChars="200"/>
        <w:rPr>
          <w:rFonts w:ascii="宋体" w:hAnsi="宋体" w:cs="宋体"/>
          <w:sz w:val="24"/>
        </w:rPr>
      </w:pPr>
      <w:r>
        <w:rPr>
          <w:rFonts w:hint="eastAsia" w:ascii="宋体" w:hAnsi="宋体" w:cs="宋体"/>
          <w:sz w:val="24"/>
        </w:rPr>
        <w:t>投标书未按上述规定密封的视为无效投标书。</w:t>
      </w:r>
    </w:p>
    <w:p>
      <w:pPr>
        <w:spacing w:line="360" w:lineRule="auto"/>
        <w:ind w:firstLine="480" w:firstLineChars="200"/>
        <w:rPr>
          <w:rFonts w:ascii="宋体" w:hAnsi="宋体" w:cs="宋体"/>
          <w:sz w:val="24"/>
        </w:rPr>
      </w:pPr>
      <w:r>
        <w:rPr>
          <w:rFonts w:hint="eastAsia" w:ascii="宋体" w:hAnsi="宋体" w:cs="宋体"/>
          <w:sz w:val="24"/>
          <w:highlight w:val="green"/>
        </w:rPr>
        <w:t>同时递交一份资质证明文件。</w:t>
      </w:r>
    </w:p>
    <w:p>
      <w:pPr>
        <w:spacing w:line="360" w:lineRule="auto"/>
        <w:ind w:firstLine="480" w:firstLineChars="200"/>
        <w:rPr>
          <w:rFonts w:ascii="宋体" w:hAnsi="宋体" w:cs="宋体"/>
          <w:sz w:val="24"/>
        </w:rPr>
      </w:pPr>
      <w:r>
        <w:rPr>
          <w:rFonts w:hint="eastAsia" w:ascii="宋体" w:hAnsi="宋体" w:cs="宋体"/>
          <w:sz w:val="24"/>
        </w:rPr>
        <w:t>(2)投标文件的递交</w:t>
      </w:r>
    </w:p>
    <w:p>
      <w:pPr>
        <w:spacing w:line="360" w:lineRule="auto"/>
        <w:ind w:firstLine="480" w:firstLineChars="200"/>
        <w:rPr>
          <w:rFonts w:ascii="宋体" w:hAnsi="宋体" w:cs="宋体"/>
          <w:sz w:val="24"/>
        </w:rPr>
      </w:pPr>
      <w:r>
        <w:rPr>
          <w:rFonts w:hint="eastAsia" w:ascii="宋体" w:hAnsi="宋体" w:cs="宋体"/>
          <w:sz w:val="24"/>
        </w:rPr>
        <w:t>各投标人的投标书由专人于规定的投标截止时间之前送至湖南化工职业技术学院行政楼</w:t>
      </w:r>
      <w:r>
        <w:rPr>
          <w:rFonts w:ascii="宋体" w:hAnsi="宋体" w:cs="宋体"/>
          <w:sz w:val="24"/>
        </w:rPr>
        <w:t>10</w:t>
      </w:r>
      <w:r>
        <w:rPr>
          <w:rFonts w:hint="eastAsia" w:ascii="宋体" w:hAnsi="宋体" w:cs="宋体"/>
          <w:sz w:val="24"/>
        </w:rPr>
        <w:t>9会议室，由工作人员登记。投标时间截止后，逾期送达的投标书将被招标单位拒收，其投标书为无效投标书。</w:t>
      </w:r>
    </w:p>
    <w:p>
      <w:pPr>
        <w:spacing w:before="156" w:beforeLines="50" w:after="156" w:afterLines="50" w:line="360" w:lineRule="auto"/>
        <w:ind w:firstLine="482" w:firstLineChars="200"/>
        <w:rPr>
          <w:rFonts w:ascii="宋体" w:hAnsi="宋体" w:cs="宋体"/>
          <w:b/>
          <w:sz w:val="24"/>
        </w:rPr>
      </w:pPr>
      <w:r>
        <w:rPr>
          <w:rFonts w:hint="eastAsia" w:ascii="宋体" w:hAnsi="宋体" w:cs="宋体"/>
          <w:b/>
          <w:sz w:val="24"/>
        </w:rPr>
        <w:t>十四、评标办法和选取确认方式</w:t>
      </w:r>
    </w:p>
    <w:p>
      <w:pPr>
        <w:spacing w:line="360" w:lineRule="auto"/>
        <w:ind w:firstLine="480" w:firstLineChars="200"/>
        <w:rPr>
          <w:rFonts w:ascii="宋体" w:hAnsi="宋体" w:cs="宋体"/>
          <w:sz w:val="24"/>
        </w:rPr>
      </w:pPr>
      <w:r>
        <w:rPr>
          <w:rFonts w:hint="eastAsia" w:ascii="宋体" w:hAnsi="宋体" w:cs="宋体"/>
          <w:sz w:val="24"/>
        </w:rPr>
        <w:t>1、比选评分标准</w:t>
      </w:r>
    </w:p>
    <w:p>
      <w:pPr>
        <w:spacing w:line="360" w:lineRule="auto"/>
        <w:ind w:firstLine="480" w:firstLineChars="200"/>
        <w:rPr>
          <w:rFonts w:ascii="宋体" w:hAnsi="宋体" w:cs="宋体"/>
          <w:sz w:val="24"/>
        </w:rPr>
      </w:pPr>
      <w:r>
        <w:rPr>
          <w:rFonts w:hint="eastAsia" w:ascii="宋体" w:hAnsi="宋体" w:cs="宋体"/>
          <w:sz w:val="24"/>
        </w:rPr>
        <w:t>对参与比选的投标人进行资格审查后，按比选评分标准对各投标人进行打分，综合得分排名前1名的投标人获得本次比选的中标资格，比选评分标准附后。</w:t>
      </w:r>
    </w:p>
    <w:p>
      <w:pPr>
        <w:pStyle w:val="6"/>
        <w:spacing w:after="0"/>
        <w:jc w:val="center"/>
        <w:rPr>
          <w:rFonts w:ascii="仿宋" w:hAnsi="仿宋" w:eastAsia="仿宋" w:cs="仿宋"/>
          <w:sz w:val="28"/>
          <w:szCs w:val="28"/>
        </w:rPr>
      </w:pPr>
      <w:r>
        <w:rPr>
          <w:rFonts w:hint="eastAsia" w:ascii="仿宋" w:hAnsi="仿宋" w:eastAsia="仿宋" w:cs="仿宋"/>
          <w:b/>
          <w:bCs/>
          <w:sz w:val="28"/>
          <w:szCs w:val="28"/>
        </w:rPr>
        <w:t>比选</w:t>
      </w:r>
      <w:bookmarkStart w:id="10" w:name="_Hlk160818547"/>
      <w:r>
        <w:rPr>
          <w:rFonts w:hint="eastAsia" w:ascii="仿宋" w:hAnsi="仿宋" w:eastAsia="仿宋" w:cs="仿宋"/>
          <w:b/>
          <w:bCs/>
          <w:sz w:val="28"/>
          <w:szCs w:val="28"/>
        </w:rPr>
        <w:t>评分标准</w:t>
      </w:r>
      <w:bookmarkEnd w:id="10"/>
    </w:p>
    <w:tbl>
      <w:tblPr>
        <w:tblStyle w:val="16"/>
        <w:tblW w:w="98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6"/>
        <w:gridCol w:w="1436"/>
        <w:gridCol w:w="804"/>
        <w:gridCol w:w="6150"/>
        <w:gridCol w:w="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706" w:type="dxa"/>
            <w:vAlign w:val="center"/>
          </w:tcPr>
          <w:p>
            <w:pPr>
              <w:widowControl/>
              <w:jc w:val="center"/>
              <w:rPr>
                <w:rFonts w:ascii="宋体" w:hAnsi="宋体" w:cs="宋体"/>
                <w:b/>
                <w:kern w:val="0"/>
                <w:sz w:val="24"/>
              </w:rPr>
            </w:pPr>
            <w:bookmarkStart w:id="11" w:name="_Hlk144297932"/>
            <w:r>
              <w:rPr>
                <w:rFonts w:hint="eastAsia" w:ascii="宋体" w:hAnsi="宋体" w:cs="宋体"/>
                <w:b/>
                <w:kern w:val="0"/>
                <w:sz w:val="24"/>
              </w:rPr>
              <w:t>序号</w:t>
            </w:r>
          </w:p>
        </w:tc>
        <w:tc>
          <w:tcPr>
            <w:tcW w:w="1436" w:type="dxa"/>
            <w:vAlign w:val="center"/>
          </w:tcPr>
          <w:p>
            <w:pPr>
              <w:widowControl/>
              <w:jc w:val="center"/>
              <w:rPr>
                <w:rFonts w:ascii="宋体" w:hAnsi="宋体" w:cs="宋体"/>
                <w:b/>
                <w:kern w:val="0"/>
                <w:sz w:val="24"/>
              </w:rPr>
            </w:pPr>
            <w:r>
              <w:rPr>
                <w:rFonts w:hint="eastAsia" w:ascii="宋体" w:hAnsi="宋体" w:cs="宋体"/>
                <w:b/>
                <w:kern w:val="0"/>
                <w:sz w:val="24"/>
              </w:rPr>
              <w:t>评审因素</w:t>
            </w:r>
          </w:p>
        </w:tc>
        <w:tc>
          <w:tcPr>
            <w:tcW w:w="804" w:type="dxa"/>
            <w:vAlign w:val="center"/>
          </w:tcPr>
          <w:p>
            <w:pPr>
              <w:widowControl/>
              <w:jc w:val="center"/>
              <w:rPr>
                <w:rFonts w:ascii="宋体" w:hAnsi="宋体" w:cs="宋体"/>
                <w:b/>
                <w:kern w:val="0"/>
                <w:sz w:val="24"/>
              </w:rPr>
            </w:pPr>
            <w:r>
              <w:rPr>
                <w:rFonts w:hint="eastAsia" w:ascii="宋体" w:hAnsi="宋体" w:cs="宋体"/>
                <w:b/>
                <w:kern w:val="0"/>
                <w:sz w:val="24"/>
              </w:rPr>
              <w:t>分值</w:t>
            </w:r>
          </w:p>
        </w:tc>
        <w:tc>
          <w:tcPr>
            <w:tcW w:w="6150" w:type="dxa"/>
            <w:vAlign w:val="center"/>
          </w:tcPr>
          <w:p>
            <w:pPr>
              <w:widowControl/>
              <w:jc w:val="center"/>
              <w:rPr>
                <w:rFonts w:ascii="宋体" w:hAnsi="宋体" w:cs="宋体"/>
                <w:b/>
                <w:kern w:val="0"/>
                <w:sz w:val="24"/>
              </w:rPr>
            </w:pPr>
            <w:r>
              <w:rPr>
                <w:rFonts w:hint="eastAsia" w:ascii="宋体" w:hAnsi="宋体" w:cs="宋体"/>
                <w:b/>
                <w:kern w:val="0"/>
                <w:sz w:val="24"/>
              </w:rPr>
              <w:t>评分标准</w:t>
            </w:r>
          </w:p>
        </w:tc>
        <w:tc>
          <w:tcPr>
            <w:tcW w:w="706" w:type="dxa"/>
            <w:vAlign w:val="center"/>
          </w:tcPr>
          <w:p>
            <w:pPr>
              <w:widowControl/>
              <w:jc w:val="center"/>
              <w:rPr>
                <w:rFonts w:ascii="宋体" w:hAnsi="宋体" w:cs="宋体"/>
                <w:b/>
                <w:kern w:val="0"/>
                <w:sz w:val="24"/>
              </w:rPr>
            </w:pPr>
            <w:r>
              <w:rPr>
                <w:rFonts w:hint="eastAsia" w:ascii="宋体" w:hAnsi="宋体" w:cs="宋体"/>
                <w:b/>
                <w:kern w:val="0"/>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1" w:hRule="atLeast"/>
          <w:jc w:val="center"/>
        </w:trPr>
        <w:tc>
          <w:tcPr>
            <w:tcW w:w="706"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1</w:t>
            </w:r>
          </w:p>
        </w:tc>
        <w:tc>
          <w:tcPr>
            <w:tcW w:w="1436"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投标报价</w:t>
            </w:r>
          </w:p>
        </w:tc>
        <w:tc>
          <w:tcPr>
            <w:tcW w:w="804"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30</w:t>
            </w:r>
          </w:p>
        </w:tc>
        <w:tc>
          <w:tcPr>
            <w:tcW w:w="6150" w:type="dxa"/>
            <w:vAlign w:val="center"/>
          </w:tcPr>
          <w:p>
            <w:pPr>
              <w:widowControl/>
              <w:adjustRightInd w:val="0"/>
              <w:snapToGrid w:val="0"/>
              <w:jc w:val="left"/>
              <w:rPr>
                <w:rFonts w:ascii="宋体" w:hAnsi="宋体" w:cs="宋体"/>
                <w:kern w:val="0"/>
                <w:sz w:val="24"/>
              </w:rPr>
            </w:pPr>
            <w:r>
              <w:rPr>
                <w:rFonts w:hint="eastAsia" w:ascii="宋体" w:hAnsi="宋体" w:cs="宋体"/>
                <w:kern w:val="0"/>
                <w:sz w:val="24"/>
              </w:rPr>
              <w:t>以经评委会一致认定满足采购文件要求且投标价格（所有项目按照权重汇总总价）最低的评审报价为评标基准价，其价格得分计30分。其他投标人的价格得分统一按公式计算：</w:t>
            </w:r>
            <w:r>
              <w:rPr>
                <w:rFonts w:hint="eastAsia" w:ascii="宋体" w:hAnsi="宋体" w:cs="宋体"/>
                <w:kern w:val="0"/>
                <w:sz w:val="24"/>
              </w:rPr>
              <w:br w:type="textWrapping"/>
            </w:r>
            <w:r>
              <w:rPr>
                <w:rFonts w:hint="eastAsia" w:ascii="宋体" w:hAnsi="宋体" w:cs="宋体"/>
                <w:kern w:val="0"/>
                <w:sz w:val="24"/>
              </w:rPr>
              <w:t>报价得分＝（评标基准价/投标报价）×30分。</w:t>
            </w:r>
          </w:p>
        </w:tc>
        <w:tc>
          <w:tcPr>
            <w:tcW w:w="706" w:type="dxa"/>
            <w:noWrap/>
            <w:vAlign w:val="center"/>
          </w:tcPr>
          <w:p>
            <w:pPr>
              <w:widowControl/>
              <w:jc w:val="righ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9" w:hRule="atLeast"/>
          <w:jc w:val="center"/>
        </w:trPr>
        <w:tc>
          <w:tcPr>
            <w:tcW w:w="706"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2</w:t>
            </w:r>
          </w:p>
        </w:tc>
        <w:tc>
          <w:tcPr>
            <w:tcW w:w="1436"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实施方案</w:t>
            </w:r>
          </w:p>
        </w:tc>
        <w:tc>
          <w:tcPr>
            <w:tcW w:w="804"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25</w:t>
            </w:r>
          </w:p>
        </w:tc>
        <w:tc>
          <w:tcPr>
            <w:tcW w:w="6150" w:type="dxa"/>
            <w:vAlign w:val="center"/>
          </w:tcPr>
          <w:p>
            <w:pPr>
              <w:widowControl/>
              <w:adjustRightInd w:val="0"/>
              <w:snapToGrid w:val="0"/>
              <w:jc w:val="left"/>
              <w:rPr>
                <w:rFonts w:ascii="宋体" w:hAnsi="宋体" w:cs="宋体"/>
                <w:kern w:val="0"/>
                <w:sz w:val="24"/>
              </w:rPr>
            </w:pPr>
            <w:r>
              <w:rPr>
                <w:rFonts w:hint="eastAsia" w:ascii="宋体" w:hAnsi="宋体" w:cs="宋体"/>
                <w:kern w:val="0"/>
                <w:sz w:val="24"/>
              </w:rPr>
              <w:t>专家组成员对投标人的项目实施方案，包括整体车辆车况，车辆维修保养，车辆保洁消毒，驾驶员车辆日常管理调配，事故预警风险方案等方面进行对比打分:</w:t>
            </w:r>
          </w:p>
          <w:p>
            <w:pPr>
              <w:widowControl/>
              <w:adjustRightInd w:val="0"/>
              <w:snapToGrid w:val="0"/>
              <w:jc w:val="left"/>
              <w:rPr>
                <w:rFonts w:ascii="宋体" w:hAnsi="宋体" w:cs="宋体"/>
                <w:kern w:val="0"/>
                <w:sz w:val="24"/>
              </w:rPr>
            </w:pPr>
            <w:r>
              <w:rPr>
                <w:rFonts w:hint="eastAsia" w:ascii="宋体" w:hAnsi="宋体" w:cs="宋体"/>
                <w:kern w:val="0"/>
                <w:sz w:val="24"/>
              </w:rPr>
              <w:t>整体车辆车况良好（提供车龄及行驶里程），车辆维修保养记录良好（提供保养记录），车辆保洁消毒方案良好，驾驶员车辆日常管理调配方案良好，事故预警风险方案良好的，综合评价为优的，计 25分；</w:t>
            </w:r>
          </w:p>
          <w:p>
            <w:pPr>
              <w:widowControl/>
              <w:adjustRightInd w:val="0"/>
              <w:snapToGrid w:val="0"/>
              <w:jc w:val="left"/>
              <w:rPr>
                <w:rFonts w:ascii="宋体" w:hAnsi="宋体" w:cs="宋体"/>
                <w:kern w:val="0"/>
                <w:sz w:val="24"/>
              </w:rPr>
            </w:pPr>
            <w:r>
              <w:rPr>
                <w:rFonts w:hint="eastAsia" w:ascii="宋体" w:hAnsi="宋体" w:cs="宋体"/>
                <w:kern w:val="0"/>
                <w:sz w:val="24"/>
              </w:rPr>
              <w:t>整体车辆车况一般（提供车龄及行驶里程），车辆维修保养记录一般（提供保养记录），车辆保洁消毒方案一般，驾驶员车辆日常管理调配方案一般，事故预警风险方案一般的，综合评价为良，计15分；</w:t>
            </w:r>
          </w:p>
          <w:p>
            <w:pPr>
              <w:widowControl/>
              <w:adjustRightInd w:val="0"/>
              <w:snapToGrid w:val="0"/>
              <w:jc w:val="left"/>
              <w:rPr>
                <w:rFonts w:ascii="宋体" w:hAnsi="宋体" w:cs="宋体"/>
                <w:kern w:val="0"/>
                <w:sz w:val="24"/>
              </w:rPr>
            </w:pPr>
            <w:r>
              <w:rPr>
                <w:rFonts w:hint="eastAsia" w:ascii="宋体" w:hAnsi="宋体" w:cs="宋体"/>
                <w:kern w:val="0"/>
                <w:sz w:val="24"/>
              </w:rPr>
              <w:t>整体车辆车况差（提供车龄及行驶里程），车辆维修保养记录差（提供保养记录），车辆保洁消毒方案差，驾驶员车辆日常管理调配方案差，事故预警风险方案差的，综合评价为差，计5分。</w:t>
            </w:r>
          </w:p>
          <w:p>
            <w:pPr>
              <w:pStyle w:val="2"/>
            </w:pPr>
            <w:r>
              <w:rPr>
                <w:rFonts w:hint="eastAsia"/>
              </w:rPr>
              <w:t>未提供，计0分。</w:t>
            </w:r>
          </w:p>
        </w:tc>
        <w:tc>
          <w:tcPr>
            <w:tcW w:w="706" w:type="dxa"/>
            <w:noWrap/>
            <w:vAlign w:val="center"/>
          </w:tcPr>
          <w:p>
            <w:pPr>
              <w:widowControl/>
              <w:jc w:val="righ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jc w:val="center"/>
        </w:trPr>
        <w:tc>
          <w:tcPr>
            <w:tcW w:w="706" w:type="dxa"/>
            <w:vMerge w:val="restart"/>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3</w:t>
            </w:r>
          </w:p>
        </w:tc>
        <w:tc>
          <w:tcPr>
            <w:tcW w:w="1436" w:type="dxa"/>
            <w:vMerge w:val="restart"/>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车辆数量及质量</w:t>
            </w:r>
          </w:p>
        </w:tc>
        <w:tc>
          <w:tcPr>
            <w:tcW w:w="804"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15</w:t>
            </w:r>
          </w:p>
        </w:tc>
        <w:tc>
          <w:tcPr>
            <w:tcW w:w="6150" w:type="dxa"/>
            <w:vAlign w:val="center"/>
          </w:tcPr>
          <w:p>
            <w:pPr>
              <w:widowControl/>
              <w:adjustRightInd w:val="0"/>
              <w:snapToGrid w:val="0"/>
              <w:jc w:val="left"/>
              <w:rPr>
                <w:rFonts w:hint="eastAsia" w:ascii="宋体" w:hAnsi="宋体" w:cs="宋体"/>
                <w:kern w:val="0"/>
                <w:sz w:val="24"/>
              </w:rPr>
            </w:pPr>
            <w:r>
              <w:rPr>
                <w:rFonts w:hint="eastAsia" w:ascii="宋体" w:hAnsi="宋体" w:cs="宋体"/>
                <w:kern w:val="0"/>
                <w:sz w:val="24"/>
              </w:rPr>
              <w:t>根据投标人针对本项目拟投入的车辆进行评分：</w:t>
            </w:r>
          </w:p>
          <w:p>
            <w:pPr>
              <w:widowControl/>
              <w:adjustRightInd w:val="0"/>
              <w:snapToGrid w:val="0"/>
              <w:jc w:val="left"/>
              <w:rPr>
                <w:rFonts w:hint="eastAsia" w:ascii="宋体" w:hAnsi="宋体" w:cs="宋体"/>
                <w:kern w:val="0"/>
                <w:sz w:val="24"/>
              </w:rPr>
            </w:pPr>
            <w:r>
              <w:rPr>
                <w:rFonts w:hint="eastAsia" w:ascii="宋体" w:hAnsi="宋体" w:cs="宋体"/>
                <w:kern w:val="0"/>
                <w:sz w:val="24"/>
              </w:rPr>
              <w:t>1、40-50座客车类（</w:t>
            </w:r>
            <w:r>
              <w:rPr>
                <w:rFonts w:hint="eastAsia" w:ascii="宋体" w:hAnsi="宋体" w:cs="宋体"/>
                <w:kern w:val="0"/>
                <w:sz w:val="24"/>
                <w:lang w:val="en-US" w:eastAsia="zh-CN"/>
              </w:rPr>
              <w:t>6</w:t>
            </w:r>
            <w:r>
              <w:rPr>
                <w:rFonts w:hint="eastAsia" w:ascii="宋体" w:hAnsi="宋体" w:cs="宋体"/>
                <w:kern w:val="0"/>
                <w:sz w:val="24"/>
              </w:rPr>
              <w:t>分）：</w:t>
            </w:r>
            <w:r>
              <w:rPr>
                <w:rFonts w:hint="eastAsia" w:ascii="宋体" w:hAnsi="宋体" w:cs="宋体"/>
                <w:kern w:val="0"/>
                <w:sz w:val="24"/>
                <w:lang w:val="en-US" w:eastAsia="zh-CN"/>
              </w:rPr>
              <w:t>5</w:t>
            </w:r>
            <w:r>
              <w:rPr>
                <w:rFonts w:hint="eastAsia" w:ascii="宋体" w:hAnsi="宋体" w:cs="宋体"/>
                <w:kern w:val="0"/>
                <w:sz w:val="24"/>
              </w:rPr>
              <w:t>辆以下不得分；</w:t>
            </w:r>
            <w:r>
              <w:rPr>
                <w:rFonts w:hint="eastAsia" w:ascii="宋体" w:hAnsi="宋体" w:cs="宋体"/>
                <w:kern w:val="0"/>
                <w:sz w:val="24"/>
                <w:lang w:val="en-US" w:eastAsia="zh-CN"/>
              </w:rPr>
              <w:t>5</w:t>
            </w:r>
            <w:r>
              <w:rPr>
                <w:rFonts w:hint="eastAsia" w:ascii="宋体" w:hAnsi="宋体" w:cs="宋体"/>
                <w:kern w:val="0"/>
                <w:sz w:val="24"/>
              </w:rPr>
              <w:t>辆得1分，在</w:t>
            </w:r>
            <w:r>
              <w:rPr>
                <w:rFonts w:hint="eastAsia" w:ascii="宋体" w:hAnsi="宋体" w:cs="宋体"/>
                <w:kern w:val="0"/>
                <w:sz w:val="24"/>
                <w:lang w:val="en-US" w:eastAsia="zh-CN"/>
              </w:rPr>
              <w:t>5</w:t>
            </w:r>
            <w:r>
              <w:rPr>
                <w:rFonts w:hint="eastAsia" w:ascii="宋体" w:hAnsi="宋体" w:cs="宋体"/>
                <w:kern w:val="0"/>
                <w:sz w:val="24"/>
              </w:rPr>
              <w:t>辆的基础上每增加1辆加0.5分分，本项最多得</w:t>
            </w:r>
            <w:r>
              <w:rPr>
                <w:rFonts w:hint="eastAsia" w:ascii="宋体" w:hAnsi="宋体" w:cs="宋体"/>
                <w:kern w:val="0"/>
                <w:sz w:val="24"/>
                <w:lang w:val="en-US" w:eastAsia="zh-CN"/>
              </w:rPr>
              <w:t>6</w:t>
            </w:r>
            <w:r>
              <w:rPr>
                <w:rFonts w:hint="eastAsia" w:ascii="宋体" w:hAnsi="宋体" w:cs="宋体"/>
                <w:kern w:val="0"/>
                <w:sz w:val="24"/>
              </w:rPr>
              <w:t>分。</w:t>
            </w:r>
          </w:p>
          <w:p>
            <w:pPr>
              <w:widowControl/>
              <w:adjustRightInd w:val="0"/>
              <w:snapToGrid w:val="0"/>
              <w:jc w:val="left"/>
              <w:rPr>
                <w:rFonts w:hint="eastAsia" w:ascii="宋体" w:hAnsi="宋体" w:cs="宋体"/>
                <w:kern w:val="0"/>
                <w:sz w:val="24"/>
              </w:rPr>
            </w:pPr>
            <w:r>
              <w:rPr>
                <w:rFonts w:hint="eastAsia" w:ascii="宋体" w:hAnsi="宋体" w:cs="宋体"/>
                <w:kern w:val="0"/>
                <w:sz w:val="24"/>
              </w:rPr>
              <w:t>2、轿车类（</w:t>
            </w:r>
            <w:r>
              <w:rPr>
                <w:rFonts w:hint="eastAsia" w:ascii="宋体" w:hAnsi="宋体" w:cs="宋体"/>
                <w:kern w:val="0"/>
                <w:sz w:val="24"/>
                <w:lang w:val="en-US" w:eastAsia="zh-CN"/>
              </w:rPr>
              <w:t>2</w:t>
            </w:r>
            <w:r>
              <w:rPr>
                <w:rFonts w:hint="eastAsia" w:ascii="宋体" w:hAnsi="宋体" w:cs="宋体"/>
                <w:kern w:val="0"/>
                <w:sz w:val="24"/>
              </w:rPr>
              <w:t>分）：</w:t>
            </w:r>
            <w:r>
              <w:rPr>
                <w:rFonts w:hint="eastAsia" w:ascii="宋体" w:hAnsi="宋体" w:cs="宋体"/>
                <w:kern w:val="0"/>
                <w:sz w:val="24"/>
                <w:lang w:val="en-US" w:eastAsia="zh-CN"/>
              </w:rPr>
              <w:t>15</w:t>
            </w:r>
            <w:r>
              <w:rPr>
                <w:rFonts w:hint="eastAsia" w:ascii="宋体" w:hAnsi="宋体" w:cs="宋体"/>
                <w:kern w:val="0"/>
                <w:sz w:val="24"/>
              </w:rPr>
              <w:t>辆以下不得分；</w:t>
            </w:r>
            <w:r>
              <w:rPr>
                <w:rFonts w:hint="eastAsia" w:ascii="宋体" w:hAnsi="宋体" w:cs="宋体"/>
                <w:kern w:val="0"/>
                <w:sz w:val="24"/>
                <w:lang w:val="en-US" w:eastAsia="zh-CN"/>
              </w:rPr>
              <w:t>15</w:t>
            </w:r>
            <w:r>
              <w:rPr>
                <w:rFonts w:hint="eastAsia" w:ascii="宋体" w:hAnsi="宋体" w:cs="宋体"/>
                <w:kern w:val="0"/>
                <w:sz w:val="24"/>
              </w:rPr>
              <w:t>辆得1分，在</w:t>
            </w:r>
            <w:r>
              <w:rPr>
                <w:rFonts w:hint="eastAsia" w:ascii="宋体" w:hAnsi="宋体" w:cs="宋体"/>
                <w:kern w:val="0"/>
                <w:sz w:val="24"/>
                <w:lang w:val="en-US" w:eastAsia="zh-CN"/>
              </w:rPr>
              <w:t>15</w:t>
            </w:r>
            <w:r>
              <w:rPr>
                <w:rFonts w:hint="eastAsia" w:ascii="宋体" w:hAnsi="宋体" w:cs="宋体"/>
                <w:kern w:val="0"/>
                <w:sz w:val="24"/>
              </w:rPr>
              <w:t>辆的基础上每增加1辆加0.5分,本项最多得</w:t>
            </w:r>
            <w:r>
              <w:rPr>
                <w:rFonts w:hint="eastAsia" w:ascii="宋体" w:hAnsi="宋体" w:cs="宋体"/>
                <w:kern w:val="0"/>
                <w:sz w:val="24"/>
                <w:lang w:val="en-US" w:eastAsia="zh-CN"/>
              </w:rPr>
              <w:t>2</w:t>
            </w:r>
            <w:r>
              <w:rPr>
                <w:rFonts w:hint="eastAsia" w:ascii="宋体" w:hAnsi="宋体" w:cs="宋体"/>
                <w:kern w:val="0"/>
                <w:sz w:val="24"/>
              </w:rPr>
              <w:t>分。</w:t>
            </w:r>
          </w:p>
          <w:p>
            <w:pPr>
              <w:widowControl/>
              <w:adjustRightInd w:val="0"/>
              <w:snapToGrid w:val="0"/>
              <w:jc w:val="left"/>
              <w:rPr>
                <w:rFonts w:hint="eastAsia" w:ascii="宋体" w:hAnsi="宋体" w:cs="宋体"/>
                <w:kern w:val="0"/>
                <w:sz w:val="24"/>
              </w:rPr>
            </w:pPr>
            <w:r>
              <w:rPr>
                <w:rFonts w:hint="eastAsia" w:ascii="宋体" w:hAnsi="宋体" w:cs="宋体"/>
                <w:kern w:val="0"/>
                <w:sz w:val="24"/>
              </w:rPr>
              <w:t>3、7座商务车类（</w:t>
            </w:r>
            <w:r>
              <w:rPr>
                <w:rFonts w:hint="eastAsia" w:ascii="宋体" w:hAnsi="宋体" w:cs="宋体"/>
                <w:kern w:val="0"/>
                <w:sz w:val="24"/>
                <w:lang w:val="en-US" w:eastAsia="zh-CN"/>
              </w:rPr>
              <w:t>2</w:t>
            </w:r>
            <w:r>
              <w:rPr>
                <w:rFonts w:hint="eastAsia" w:ascii="宋体" w:hAnsi="宋体" w:cs="宋体"/>
                <w:kern w:val="0"/>
                <w:sz w:val="24"/>
              </w:rPr>
              <w:t>分）：</w:t>
            </w:r>
            <w:r>
              <w:rPr>
                <w:rFonts w:hint="eastAsia" w:ascii="宋体" w:hAnsi="宋体" w:cs="宋体"/>
                <w:kern w:val="0"/>
                <w:sz w:val="24"/>
                <w:lang w:val="en-US" w:eastAsia="zh-CN"/>
              </w:rPr>
              <w:t>10</w:t>
            </w:r>
            <w:r>
              <w:rPr>
                <w:rFonts w:hint="eastAsia" w:ascii="宋体" w:hAnsi="宋体" w:cs="宋体"/>
                <w:kern w:val="0"/>
                <w:sz w:val="24"/>
              </w:rPr>
              <w:t>辆以下不得分；1</w:t>
            </w:r>
            <w:r>
              <w:rPr>
                <w:rFonts w:hint="eastAsia" w:ascii="宋体" w:hAnsi="宋体" w:cs="宋体"/>
                <w:kern w:val="0"/>
                <w:sz w:val="24"/>
                <w:lang w:val="en-US" w:eastAsia="zh-CN"/>
              </w:rPr>
              <w:t>0</w:t>
            </w:r>
            <w:r>
              <w:rPr>
                <w:rFonts w:hint="eastAsia" w:ascii="宋体" w:hAnsi="宋体" w:cs="宋体"/>
                <w:kern w:val="0"/>
                <w:sz w:val="24"/>
              </w:rPr>
              <w:t>辆得1分，在1</w:t>
            </w:r>
            <w:r>
              <w:rPr>
                <w:rFonts w:hint="eastAsia" w:ascii="宋体" w:hAnsi="宋体" w:cs="宋体"/>
                <w:kern w:val="0"/>
                <w:sz w:val="24"/>
                <w:lang w:val="en-US" w:eastAsia="zh-CN"/>
              </w:rPr>
              <w:t>0</w:t>
            </w:r>
            <w:r>
              <w:rPr>
                <w:rFonts w:hint="eastAsia" w:ascii="宋体" w:hAnsi="宋体" w:cs="宋体"/>
                <w:kern w:val="0"/>
                <w:sz w:val="24"/>
              </w:rPr>
              <w:t>辆的基础上每增加1辆加0.5分，本项最多得</w:t>
            </w:r>
            <w:r>
              <w:rPr>
                <w:rFonts w:hint="eastAsia" w:ascii="宋体" w:hAnsi="宋体" w:cs="宋体"/>
                <w:kern w:val="0"/>
                <w:sz w:val="24"/>
                <w:lang w:val="en-US" w:eastAsia="zh-CN"/>
              </w:rPr>
              <w:t>2</w:t>
            </w:r>
            <w:r>
              <w:rPr>
                <w:rFonts w:hint="eastAsia" w:ascii="宋体" w:hAnsi="宋体" w:cs="宋体"/>
                <w:kern w:val="0"/>
                <w:sz w:val="24"/>
              </w:rPr>
              <w:t>分。</w:t>
            </w:r>
          </w:p>
          <w:p>
            <w:pPr>
              <w:widowControl/>
              <w:adjustRightInd w:val="0"/>
              <w:snapToGrid w:val="0"/>
              <w:jc w:val="left"/>
              <w:rPr>
                <w:rFonts w:hint="eastAsia" w:ascii="宋体" w:hAnsi="宋体" w:cs="宋体"/>
                <w:kern w:val="0"/>
                <w:sz w:val="24"/>
              </w:rPr>
            </w:pPr>
            <w:r>
              <w:rPr>
                <w:rFonts w:hint="eastAsia" w:ascii="宋体" w:hAnsi="宋体" w:cs="宋体"/>
                <w:kern w:val="0"/>
                <w:sz w:val="24"/>
              </w:rPr>
              <w:t>4、8座-39座大客车类（</w:t>
            </w:r>
            <w:r>
              <w:rPr>
                <w:rFonts w:hint="eastAsia" w:ascii="宋体" w:hAnsi="宋体" w:cs="宋体"/>
                <w:kern w:val="0"/>
                <w:sz w:val="24"/>
                <w:lang w:val="en-US" w:eastAsia="zh-CN"/>
              </w:rPr>
              <w:t>5</w:t>
            </w:r>
            <w:r>
              <w:rPr>
                <w:rFonts w:hint="eastAsia" w:ascii="宋体" w:hAnsi="宋体" w:cs="宋体"/>
                <w:kern w:val="0"/>
                <w:sz w:val="24"/>
              </w:rPr>
              <w:t>分）：5辆以下不</w:t>
            </w:r>
            <w:r>
              <w:rPr>
                <w:rFonts w:hint="eastAsia" w:ascii="宋体" w:hAnsi="宋体" w:cs="宋体"/>
                <w:kern w:val="0"/>
                <w:sz w:val="24"/>
                <w:lang w:val="en-US" w:eastAsia="zh-CN"/>
              </w:rPr>
              <w:t>得</w:t>
            </w:r>
            <w:r>
              <w:rPr>
                <w:rFonts w:hint="eastAsia" w:ascii="宋体" w:hAnsi="宋体" w:cs="宋体"/>
                <w:kern w:val="0"/>
                <w:sz w:val="24"/>
              </w:rPr>
              <w:t>分；</w:t>
            </w:r>
            <w:r>
              <w:rPr>
                <w:rFonts w:hint="eastAsia" w:ascii="宋体" w:hAnsi="宋体" w:cs="宋体"/>
                <w:kern w:val="0"/>
                <w:sz w:val="24"/>
                <w:lang w:val="en-US" w:eastAsia="zh-CN"/>
              </w:rPr>
              <w:t>5</w:t>
            </w:r>
            <w:r>
              <w:rPr>
                <w:rFonts w:hint="eastAsia" w:ascii="宋体" w:hAnsi="宋体" w:cs="宋体"/>
                <w:kern w:val="0"/>
                <w:sz w:val="24"/>
              </w:rPr>
              <w:t>辆得1分，在</w:t>
            </w:r>
            <w:r>
              <w:rPr>
                <w:rFonts w:hint="eastAsia" w:ascii="宋体" w:hAnsi="宋体" w:cs="宋体"/>
                <w:kern w:val="0"/>
                <w:sz w:val="24"/>
                <w:lang w:val="en-US" w:eastAsia="zh-CN"/>
              </w:rPr>
              <w:t>5</w:t>
            </w:r>
            <w:r>
              <w:rPr>
                <w:rFonts w:hint="eastAsia" w:ascii="宋体" w:hAnsi="宋体" w:cs="宋体"/>
                <w:kern w:val="0"/>
                <w:sz w:val="24"/>
              </w:rPr>
              <w:t>辆的基础上每增加1辆加0.5分，本项最多得</w:t>
            </w:r>
            <w:r>
              <w:rPr>
                <w:rFonts w:hint="eastAsia" w:ascii="宋体" w:hAnsi="宋体" w:cs="宋体"/>
                <w:kern w:val="0"/>
                <w:sz w:val="24"/>
                <w:lang w:val="en-US" w:eastAsia="zh-CN"/>
              </w:rPr>
              <w:t>5</w:t>
            </w:r>
            <w:r>
              <w:rPr>
                <w:rFonts w:hint="eastAsia" w:ascii="宋体" w:hAnsi="宋体" w:cs="宋体"/>
                <w:kern w:val="0"/>
                <w:sz w:val="24"/>
              </w:rPr>
              <w:t>分。</w:t>
            </w:r>
          </w:p>
          <w:p>
            <w:pPr>
              <w:widowControl/>
              <w:adjustRightInd w:val="0"/>
              <w:snapToGrid w:val="0"/>
              <w:jc w:val="left"/>
              <w:rPr>
                <w:rFonts w:hint="eastAsia" w:eastAsia="宋体"/>
                <w:lang w:eastAsia="zh-CN"/>
              </w:rPr>
            </w:pPr>
            <w:r>
              <w:rPr>
                <w:rFonts w:hint="eastAsia" w:ascii="宋体" w:hAnsi="宋体" w:cs="宋体"/>
                <w:kern w:val="0"/>
                <w:sz w:val="24"/>
                <w:lang w:val="en-US" w:eastAsia="zh-CN"/>
              </w:rPr>
              <w:t>（提供详细的车辆清单，包括车辆类型、车辆数量、车辆品牌、型号等信息，以及投标人相应车辆所有权证明，如车辆登记证、购车发票等证明材料，并加盖投标人公章，否则不计分。）</w:t>
            </w:r>
          </w:p>
        </w:tc>
        <w:tc>
          <w:tcPr>
            <w:tcW w:w="706" w:type="dxa"/>
            <w:noWrap/>
            <w:vAlign w:val="center"/>
          </w:tcPr>
          <w:p>
            <w:pPr>
              <w:widowControl/>
              <w:jc w:val="righ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jc w:val="center"/>
        </w:trPr>
        <w:tc>
          <w:tcPr>
            <w:tcW w:w="706" w:type="dxa"/>
            <w:vMerge w:val="continue"/>
            <w:vAlign w:val="center"/>
          </w:tcPr>
          <w:p>
            <w:pPr>
              <w:widowControl/>
              <w:adjustRightInd w:val="0"/>
              <w:snapToGrid w:val="0"/>
              <w:jc w:val="center"/>
              <w:rPr>
                <w:rFonts w:ascii="宋体" w:hAnsi="宋体" w:cs="宋体"/>
                <w:kern w:val="0"/>
                <w:sz w:val="24"/>
              </w:rPr>
            </w:pPr>
          </w:p>
        </w:tc>
        <w:tc>
          <w:tcPr>
            <w:tcW w:w="1436" w:type="dxa"/>
            <w:vMerge w:val="continue"/>
            <w:vAlign w:val="center"/>
          </w:tcPr>
          <w:p>
            <w:pPr>
              <w:widowControl/>
              <w:adjustRightInd w:val="0"/>
              <w:snapToGrid w:val="0"/>
              <w:jc w:val="center"/>
              <w:rPr>
                <w:rFonts w:ascii="宋体" w:hAnsi="宋体" w:cs="宋体"/>
                <w:kern w:val="0"/>
                <w:sz w:val="24"/>
              </w:rPr>
            </w:pPr>
          </w:p>
        </w:tc>
        <w:tc>
          <w:tcPr>
            <w:tcW w:w="804"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10</w:t>
            </w:r>
          </w:p>
        </w:tc>
        <w:tc>
          <w:tcPr>
            <w:tcW w:w="6150" w:type="dxa"/>
            <w:vAlign w:val="center"/>
          </w:tcPr>
          <w:p>
            <w:pPr>
              <w:widowControl/>
              <w:adjustRightInd w:val="0"/>
              <w:snapToGrid w:val="0"/>
              <w:jc w:val="left"/>
              <w:rPr>
                <w:rFonts w:ascii="宋体" w:hAnsi="宋体" w:cs="宋体"/>
                <w:kern w:val="0"/>
                <w:sz w:val="24"/>
              </w:rPr>
            </w:pPr>
            <w:r>
              <w:rPr>
                <w:rFonts w:hint="eastAsia" w:ascii="宋体" w:hAnsi="宋体" w:cs="宋体"/>
                <w:kern w:val="0"/>
                <w:sz w:val="24"/>
              </w:rPr>
              <w:t>投标人在车辆中选取6台大巴车、5辆中巴车、4辆商务车、5辆小车为样本，并提供相关车辆资料，以车辆登记证书首次所登记日期为准计算。车龄2年以下，且行驶里程不超过4万公里的每台计0.5分；车龄超过2年以上5年以下或行驶里程超过4万公里不超过6万公里的每台计0.3分；车龄超过5年以上或行驶里程超过10万公里的不计分；本项最多计10分。</w:t>
            </w:r>
          </w:p>
          <w:p>
            <w:pPr>
              <w:widowControl/>
              <w:adjustRightInd w:val="0"/>
              <w:snapToGrid w:val="0"/>
              <w:jc w:val="left"/>
              <w:rPr>
                <w:rFonts w:ascii="宋体" w:hAnsi="宋体" w:cs="宋体"/>
                <w:kern w:val="0"/>
                <w:sz w:val="24"/>
              </w:rPr>
            </w:pPr>
            <w:r>
              <w:rPr>
                <w:rFonts w:hint="eastAsia" w:ascii="宋体" w:hAnsi="宋体" w:cs="宋体"/>
                <w:kern w:val="0"/>
                <w:sz w:val="24"/>
              </w:rPr>
              <w:t>（提供车辆登记证书或行驶证复印件及车辆里程证明材料，并加盖投标人公章，否则不计分。）</w:t>
            </w:r>
          </w:p>
        </w:tc>
        <w:tc>
          <w:tcPr>
            <w:tcW w:w="706" w:type="dxa"/>
            <w:noWrap/>
            <w:vAlign w:val="center"/>
          </w:tcPr>
          <w:p>
            <w:pPr>
              <w:widowControl/>
              <w:jc w:val="right"/>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atLeast"/>
          <w:jc w:val="center"/>
        </w:trPr>
        <w:tc>
          <w:tcPr>
            <w:tcW w:w="706"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4</w:t>
            </w:r>
          </w:p>
        </w:tc>
        <w:tc>
          <w:tcPr>
            <w:tcW w:w="1436"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实施经验(成功案例)</w:t>
            </w:r>
          </w:p>
        </w:tc>
        <w:tc>
          <w:tcPr>
            <w:tcW w:w="804"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8</w:t>
            </w:r>
          </w:p>
        </w:tc>
        <w:tc>
          <w:tcPr>
            <w:tcW w:w="6150" w:type="dxa"/>
            <w:vAlign w:val="center"/>
          </w:tcPr>
          <w:p>
            <w:pPr>
              <w:widowControl/>
              <w:adjustRightInd w:val="0"/>
              <w:snapToGrid w:val="0"/>
              <w:jc w:val="left"/>
              <w:rPr>
                <w:rFonts w:ascii="宋体" w:hAnsi="宋体" w:cs="宋体"/>
                <w:kern w:val="0"/>
                <w:sz w:val="24"/>
              </w:rPr>
            </w:pPr>
            <w:r>
              <w:rPr>
                <w:rFonts w:hint="eastAsia" w:ascii="宋体" w:hAnsi="宋体" w:cs="宋体"/>
                <w:kern w:val="0"/>
                <w:sz w:val="24"/>
              </w:rPr>
              <w:t>投标人具有类似项目实施经验，每提供一个项目成功案例的计2分，本项最高计8分。</w:t>
            </w:r>
          </w:p>
          <w:p>
            <w:pPr>
              <w:widowControl/>
              <w:adjustRightInd w:val="0"/>
              <w:snapToGrid w:val="0"/>
              <w:jc w:val="left"/>
              <w:rPr>
                <w:rFonts w:ascii="宋体" w:hAnsi="宋体" w:cs="宋体"/>
                <w:kern w:val="0"/>
                <w:sz w:val="24"/>
              </w:rPr>
            </w:pPr>
            <w:r>
              <w:rPr>
                <w:rFonts w:hint="eastAsia" w:ascii="宋体" w:hAnsi="宋体" w:cs="宋体"/>
                <w:kern w:val="0"/>
                <w:sz w:val="24"/>
              </w:rPr>
              <w:t>计分说明：投标人须在投标文件中提供合同文本复印件,否则应计分项计0分。</w:t>
            </w:r>
          </w:p>
        </w:tc>
        <w:tc>
          <w:tcPr>
            <w:tcW w:w="706" w:type="dxa"/>
            <w:vAlign w:val="center"/>
          </w:tcPr>
          <w:p>
            <w:pPr>
              <w:widowControl/>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1" w:hRule="atLeast"/>
          <w:jc w:val="center"/>
        </w:trPr>
        <w:tc>
          <w:tcPr>
            <w:tcW w:w="706"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5</w:t>
            </w:r>
          </w:p>
        </w:tc>
        <w:tc>
          <w:tcPr>
            <w:tcW w:w="1436"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售后服务</w:t>
            </w:r>
          </w:p>
        </w:tc>
        <w:tc>
          <w:tcPr>
            <w:tcW w:w="804"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6</w:t>
            </w:r>
          </w:p>
        </w:tc>
        <w:tc>
          <w:tcPr>
            <w:tcW w:w="6150" w:type="dxa"/>
            <w:vAlign w:val="center"/>
          </w:tcPr>
          <w:p>
            <w:pPr>
              <w:widowControl/>
              <w:adjustRightInd w:val="0"/>
              <w:snapToGrid w:val="0"/>
              <w:jc w:val="left"/>
              <w:rPr>
                <w:rFonts w:ascii="宋体" w:hAnsi="宋体" w:cs="宋体"/>
                <w:kern w:val="0"/>
                <w:sz w:val="24"/>
              </w:rPr>
            </w:pPr>
            <w:r>
              <w:rPr>
                <w:rFonts w:hint="eastAsia" w:ascii="宋体" w:hAnsi="宋体" w:cs="宋体"/>
                <w:kern w:val="0"/>
                <w:sz w:val="24"/>
              </w:rPr>
              <w:t>1.服务方案及响应时间：根据服务方案描述的免费售后服务年限、质量保证计划、维护技术力量、服务响应时间、质量期满后服务措施等进行综合评价，方案完整、可行性高、响应时间最快且不超过4小时的得</w:t>
            </w:r>
            <w:r>
              <w:rPr>
                <w:rFonts w:hint="eastAsia" w:ascii="宋体" w:hAnsi="宋体" w:cs="宋体"/>
                <w:kern w:val="0"/>
                <w:sz w:val="24"/>
                <w:lang w:val="en-US" w:eastAsia="zh-CN"/>
              </w:rPr>
              <w:t>6</w:t>
            </w:r>
            <w:r>
              <w:rPr>
                <w:rFonts w:hint="eastAsia" w:ascii="宋体" w:hAnsi="宋体" w:cs="宋体"/>
                <w:kern w:val="0"/>
                <w:sz w:val="24"/>
              </w:rPr>
              <w:t>分，方案基本完整、可行、响应时间一般的得</w:t>
            </w:r>
            <w:r>
              <w:rPr>
                <w:rFonts w:hint="eastAsia" w:ascii="宋体" w:hAnsi="宋体" w:cs="宋体"/>
                <w:kern w:val="0"/>
                <w:sz w:val="24"/>
                <w:lang w:val="en-US" w:eastAsia="zh-CN"/>
              </w:rPr>
              <w:t>4</w:t>
            </w:r>
            <w:r>
              <w:rPr>
                <w:rFonts w:hint="eastAsia" w:ascii="宋体" w:hAnsi="宋体" w:cs="宋体"/>
                <w:kern w:val="0"/>
                <w:sz w:val="24"/>
              </w:rPr>
              <w:t xml:space="preserve">分；方案不完整、可行性不高、响应时间最慢的得2分。未提供的不计分。                                                                           </w:t>
            </w:r>
          </w:p>
        </w:tc>
        <w:tc>
          <w:tcPr>
            <w:tcW w:w="706" w:type="dxa"/>
            <w:vAlign w:val="center"/>
          </w:tcPr>
          <w:p>
            <w:pPr>
              <w:widowControl/>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jc w:val="center"/>
        </w:trPr>
        <w:tc>
          <w:tcPr>
            <w:tcW w:w="706"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6</w:t>
            </w:r>
          </w:p>
        </w:tc>
        <w:tc>
          <w:tcPr>
            <w:tcW w:w="1436"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服务团队</w:t>
            </w:r>
          </w:p>
        </w:tc>
        <w:tc>
          <w:tcPr>
            <w:tcW w:w="804" w:type="dxa"/>
            <w:vAlign w:val="center"/>
          </w:tcPr>
          <w:p>
            <w:pPr>
              <w:widowControl/>
              <w:adjustRightInd w:val="0"/>
              <w:snapToGrid w:val="0"/>
              <w:jc w:val="center"/>
              <w:rPr>
                <w:rFonts w:ascii="宋体" w:hAnsi="宋体" w:cs="宋体"/>
                <w:kern w:val="0"/>
                <w:sz w:val="24"/>
              </w:rPr>
            </w:pPr>
            <w:r>
              <w:rPr>
                <w:rFonts w:hint="eastAsia" w:ascii="宋体" w:hAnsi="宋体" w:cs="宋体"/>
                <w:kern w:val="0"/>
                <w:sz w:val="24"/>
              </w:rPr>
              <w:t>6</w:t>
            </w:r>
          </w:p>
        </w:tc>
        <w:tc>
          <w:tcPr>
            <w:tcW w:w="6150" w:type="dxa"/>
            <w:vAlign w:val="center"/>
          </w:tcPr>
          <w:p>
            <w:pPr>
              <w:widowControl/>
              <w:adjustRightInd w:val="0"/>
              <w:snapToGrid w:val="0"/>
              <w:jc w:val="left"/>
              <w:rPr>
                <w:rFonts w:ascii="宋体" w:hAnsi="宋体" w:cs="宋体"/>
                <w:kern w:val="0"/>
                <w:sz w:val="24"/>
              </w:rPr>
            </w:pPr>
            <w:r>
              <w:rPr>
                <w:rFonts w:hint="eastAsia" w:ascii="宋体" w:hAnsi="宋体" w:cs="宋体"/>
                <w:kern w:val="0"/>
                <w:sz w:val="24"/>
              </w:rPr>
              <w:t>投标人提供6个专职驾驶员资料。专职驾驶员</w:t>
            </w:r>
            <w:r>
              <w:rPr>
                <w:rFonts w:hint="eastAsia" w:ascii="宋体" w:hAnsi="宋体" w:cs="宋体"/>
                <w:kern w:val="0"/>
                <w:sz w:val="24"/>
                <w:lang w:val="en-US" w:eastAsia="zh-CN"/>
              </w:rPr>
              <w:t>年龄60岁以下且</w:t>
            </w:r>
            <w:r>
              <w:rPr>
                <w:rFonts w:hint="eastAsia" w:ascii="宋体" w:hAnsi="宋体" w:cs="宋体"/>
                <w:kern w:val="0"/>
                <w:sz w:val="24"/>
              </w:rPr>
              <w:t>驾龄10年及以上的，每个计1分；专职驾驶员</w:t>
            </w:r>
            <w:r>
              <w:rPr>
                <w:rFonts w:hint="eastAsia" w:ascii="宋体" w:hAnsi="宋体" w:cs="宋体"/>
                <w:kern w:val="0"/>
                <w:sz w:val="24"/>
                <w:lang w:val="en-US" w:eastAsia="zh-CN"/>
              </w:rPr>
              <w:t>年龄60岁以下且</w:t>
            </w:r>
            <w:r>
              <w:rPr>
                <w:rFonts w:hint="eastAsia" w:ascii="宋体" w:hAnsi="宋体" w:cs="宋体"/>
                <w:kern w:val="0"/>
                <w:sz w:val="24"/>
              </w:rPr>
              <w:t>驾龄5年及以上的，每个计0.5分；专职驾驶员</w:t>
            </w:r>
            <w:r>
              <w:rPr>
                <w:rFonts w:hint="eastAsia" w:ascii="宋体" w:hAnsi="宋体" w:cs="宋体"/>
                <w:kern w:val="0"/>
                <w:sz w:val="24"/>
                <w:lang w:val="en-US" w:eastAsia="zh-CN"/>
              </w:rPr>
              <w:t>年龄60岁以下且</w:t>
            </w:r>
            <w:r>
              <w:rPr>
                <w:rFonts w:hint="eastAsia" w:ascii="宋体" w:hAnsi="宋体" w:cs="宋体"/>
                <w:kern w:val="0"/>
                <w:sz w:val="24"/>
              </w:rPr>
              <w:t>驾龄5年以下的，不计分，本项最多计6分。(提供专职驾驶员的身份证、驾驶证、客运从业资格证复印件并加盖公章，未提供或3证不齐的，不计分)</w:t>
            </w:r>
          </w:p>
        </w:tc>
        <w:tc>
          <w:tcPr>
            <w:tcW w:w="706" w:type="dxa"/>
            <w:vAlign w:val="center"/>
          </w:tcPr>
          <w:p>
            <w:pPr>
              <w:widowControl/>
              <w:jc w:val="center"/>
              <w:rPr>
                <w:rFonts w:ascii="宋体" w:hAnsi="宋体" w:cs="宋体"/>
                <w:kern w:val="0"/>
                <w:sz w:val="24"/>
              </w:rPr>
            </w:pPr>
          </w:p>
        </w:tc>
      </w:tr>
      <w:bookmarkEnd w:id="11"/>
    </w:tbl>
    <w:p>
      <w:pPr>
        <w:spacing w:before="156" w:beforeLines="50" w:line="360" w:lineRule="auto"/>
        <w:ind w:firstLine="480" w:firstLineChars="200"/>
        <w:rPr>
          <w:rFonts w:ascii="宋体" w:hAnsi="宋体" w:cs="宋体"/>
          <w:sz w:val="24"/>
        </w:rPr>
      </w:pPr>
      <w:r>
        <w:rPr>
          <w:rFonts w:hint="eastAsia" w:ascii="宋体" w:hAnsi="宋体" w:cs="宋体"/>
          <w:sz w:val="24"/>
        </w:rPr>
        <w:t>2、有下述情况之一的，评标委员会应当认定其为不合格投标人：</w:t>
      </w:r>
    </w:p>
    <w:p>
      <w:pPr>
        <w:spacing w:line="360" w:lineRule="auto"/>
        <w:ind w:firstLine="480" w:firstLineChars="200"/>
        <w:rPr>
          <w:rFonts w:ascii="宋体" w:hAnsi="宋体" w:cs="宋体"/>
          <w:sz w:val="24"/>
        </w:rPr>
      </w:pPr>
      <w:r>
        <w:rPr>
          <w:rFonts w:hint="eastAsia" w:ascii="宋体" w:hAnsi="宋体" w:cs="宋体"/>
          <w:sz w:val="24"/>
        </w:rPr>
        <w:t>（1）比选投标文件未按招标文件规定要求加盖投标人公章的，或无企业法定代表人或法定代表人授权的代理人签字、盖章的；</w:t>
      </w:r>
    </w:p>
    <w:p>
      <w:pPr>
        <w:spacing w:line="360" w:lineRule="auto"/>
        <w:ind w:firstLine="480" w:firstLineChars="200"/>
        <w:rPr>
          <w:rFonts w:ascii="宋体" w:hAnsi="宋体" w:cs="宋体"/>
          <w:sz w:val="24"/>
        </w:rPr>
      </w:pPr>
      <w:r>
        <w:rPr>
          <w:rFonts w:hint="eastAsia" w:ascii="宋体" w:hAnsi="宋体" w:cs="宋体"/>
          <w:sz w:val="24"/>
        </w:rPr>
        <w:t>（2）授权委托书无投标人公章的，无企业法定代表人或法定代表人授权的代理人签字、盖章的，或授权时间无效的；</w:t>
      </w:r>
    </w:p>
    <w:p>
      <w:pPr>
        <w:spacing w:line="360" w:lineRule="auto"/>
        <w:ind w:firstLine="480" w:firstLineChars="200"/>
        <w:rPr>
          <w:rFonts w:ascii="宋体" w:hAnsi="宋体" w:cs="宋体"/>
          <w:sz w:val="24"/>
        </w:rPr>
      </w:pPr>
      <w:r>
        <w:rPr>
          <w:rFonts w:hint="eastAsia" w:ascii="宋体" w:hAnsi="宋体" w:cs="宋体"/>
          <w:sz w:val="24"/>
        </w:rPr>
        <w:t xml:space="preserve">（3）不具备招标文件中规定资格要求的； </w:t>
      </w:r>
    </w:p>
    <w:p>
      <w:pPr>
        <w:spacing w:line="360" w:lineRule="auto"/>
        <w:ind w:firstLine="480" w:firstLineChars="200"/>
        <w:rPr>
          <w:rFonts w:ascii="宋体" w:hAnsi="宋体" w:cs="宋体"/>
          <w:sz w:val="24"/>
        </w:rPr>
      </w:pPr>
      <w:r>
        <w:rPr>
          <w:rFonts w:hint="eastAsia" w:ascii="宋体" w:hAnsi="宋体" w:cs="宋体"/>
          <w:sz w:val="24"/>
        </w:rPr>
        <w:t>（4）投标人递交两份或多份内容不同的投标文件的；</w:t>
      </w:r>
    </w:p>
    <w:p>
      <w:pPr>
        <w:spacing w:line="360" w:lineRule="auto"/>
        <w:ind w:firstLine="480" w:firstLineChars="200"/>
        <w:rPr>
          <w:rFonts w:ascii="宋体" w:hAnsi="宋体" w:cs="宋体"/>
          <w:sz w:val="24"/>
        </w:rPr>
      </w:pPr>
      <w:r>
        <w:rPr>
          <w:rFonts w:hint="eastAsia" w:ascii="宋体" w:hAnsi="宋体" w:cs="宋体"/>
          <w:sz w:val="24"/>
        </w:rPr>
        <w:t>（5）以行贿手段谋取中标或者不如实提供有关情况、文件、证明等资料及以其他弄虚作假方式投标的；</w:t>
      </w:r>
    </w:p>
    <w:p>
      <w:pPr>
        <w:spacing w:line="360" w:lineRule="auto"/>
        <w:ind w:firstLine="480" w:firstLineChars="200"/>
        <w:rPr>
          <w:rFonts w:ascii="宋体" w:hAnsi="宋体" w:cs="宋体"/>
          <w:sz w:val="24"/>
        </w:rPr>
      </w:pPr>
      <w:r>
        <w:rPr>
          <w:rFonts w:hint="eastAsia" w:ascii="宋体" w:hAnsi="宋体" w:cs="宋体"/>
          <w:sz w:val="24"/>
        </w:rPr>
        <w:t>（6）其它不符合法律法规和招标文件相关形式规定的；</w:t>
      </w:r>
    </w:p>
    <w:p>
      <w:pPr>
        <w:spacing w:line="360" w:lineRule="auto"/>
        <w:ind w:firstLine="480" w:firstLineChars="200"/>
        <w:rPr>
          <w:rFonts w:ascii="宋体" w:hAnsi="宋体" w:cs="宋体"/>
          <w:sz w:val="24"/>
        </w:rPr>
      </w:pPr>
      <w:r>
        <w:rPr>
          <w:rFonts w:hint="eastAsia" w:ascii="宋体" w:hAnsi="宋体" w:cs="宋体"/>
          <w:sz w:val="24"/>
        </w:rPr>
        <w:t>3、评标委员会应当就投标文件中存在不明确或细微偏差的内容，要求投标人予以澄清、说明或者补正。澄清、说明或者补正应在评标结束前以书面方式提交，并不得超出投标文件范围或者改变投标文件的实质性内容，澄清、说明或者补正的书面材料应当由投标人的法定代表人或其授权的委托代理人签字或盖章。评标委员会不得接受投标人主动提出的澄清、说明或补正。</w:t>
      </w:r>
    </w:p>
    <w:p>
      <w:pPr>
        <w:spacing w:line="360" w:lineRule="auto"/>
        <w:ind w:firstLine="480" w:firstLineChars="200"/>
        <w:rPr>
          <w:rFonts w:ascii="宋体" w:hAnsi="宋体" w:cs="宋体"/>
          <w:sz w:val="24"/>
        </w:rPr>
      </w:pPr>
      <w:r>
        <w:rPr>
          <w:rFonts w:hint="eastAsia" w:ascii="宋体" w:hAnsi="宋体" w:cs="宋体"/>
          <w:sz w:val="24"/>
        </w:rPr>
        <w:t>4、经评标委员会评审，所有投标文件均被否决的，招标人应当依法重新招标。</w:t>
      </w:r>
    </w:p>
    <w:p>
      <w:pPr>
        <w:spacing w:line="360" w:lineRule="auto"/>
        <w:ind w:firstLine="482" w:firstLineChars="200"/>
      </w:pPr>
      <w:r>
        <w:rPr>
          <w:rFonts w:hint="eastAsia" w:ascii="宋体" w:hAnsi="宋体" w:cs="宋体"/>
          <w:b/>
          <w:bCs/>
          <w:sz w:val="24"/>
        </w:rPr>
        <w:t>本评标办法仅适用于本项目。</w:t>
      </w:r>
    </w:p>
    <w:p/>
    <w:sectPr>
      <w:headerReference r:id="rId3" w:type="default"/>
      <w:pgSz w:w="11906" w:h="16838"/>
      <w:pgMar w:top="1440" w:right="1134"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wordWrap w:val="0"/>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8A9A0A2"/>
    <w:multiLevelType w:val="singleLevel"/>
    <w:tmpl w:val="B8A9A0A2"/>
    <w:lvl w:ilvl="0" w:tentative="0">
      <w:start w:val="1"/>
      <w:numFmt w:val="chineseCounting"/>
      <w:suff w:val="nothing"/>
      <w:lvlText w:val="%1、"/>
      <w:lvlJc w:val="left"/>
      <w:rPr>
        <w:rFonts w:hint="eastAsia"/>
        <w:lang w:val="en-US"/>
      </w:rPr>
    </w:lvl>
  </w:abstractNum>
  <w:abstractNum w:abstractNumId="1">
    <w:nsid w:val="2EF7B684"/>
    <w:multiLevelType w:val="singleLevel"/>
    <w:tmpl w:val="2EF7B684"/>
    <w:lvl w:ilvl="0" w:tentative="0">
      <w:start w:val="1"/>
      <w:numFmt w:val="decimal"/>
      <w:lvlText w:val="%1."/>
      <w:lvlJc w:val="left"/>
      <w:pPr>
        <w:tabs>
          <w:tab w:val="left" w:pos="312"/>
        </w:tabs>
      </w:pPr>
    </w:lvl>
  </w:abstractNum>
  <w:abstractNum w:abstractNumId="2">
    <w:nsid w:val="6AA1644E"/>
    <w:multiLevelType w:val="multilevel"/>
    <w:tmpl w:val="6AA1644E"/>
    <w:lvl w:ilvl="0" w:tentative="0">
      <w:start w:val="1"/>
      <w:numFmt w:val="decimal"/>
      <w:lvlText w:val="%1、"/>
      <w:lvlJc w:val="left"/>
      <w:pPr>
        <w:ind w:left="928" w:hanging="360"/>
      </w:pPr>
      <w:rPr>
        <w:rFonts w:hint="default"/>
      </w:rPr>
    </w:lvl>
    <w:lvl w:ilvl="1" w:tentative="0">
      <w:start w:val="2"/>
      <w:numFmt w:val="japaneseCounting"/>
      <w:lvlText w:val="%2、"/>
      <w:lvlJc w:val="left"/>
      <w:pPr>
        <w:ind w:left="808" w:hanging="480"/>
      </w:pPr>
      <w:rPr>
        <w:rFonts w:hint="default"/>
      </w:r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JiYWU1NDI5NGUwMzE1MmRmNzE3ZmE2MGU1NjQ5NjMifQ=="/>
  </w:docVars>
  <w:rsids>
    <w:rsidRoot w:val="007C7C41"/>
    <w:rsid w:val="0002432A"/>
    <w:rsid w:val="00026832"/>
    <w:rsid w:val="0004220C"/>
    <w:rsid w:val="000B4AC9"/>
    <w:rsid w:val="000C2AAD"/>
    <w:rsid w:val="000C4FCD"/>
    <w:rsid w:val="000C7B07"/>
    <w:rsid w:val="000D17C4"/>
    <w:rsid w:val="000D2C1F"/>
    <w:rsid w:val="000E208E"/>
    <w:rsid w:val="000E22D8"/>
    <w:rsid w:val="000E2FCA"/>
    <w:rsid w:val="000E3EB7"/>
    <w:rsid w:val="000E6B0E"/>
    <w:rsid w:val="000F59A8"/>
    <w:rsid w:val="00103E0F"/>
    <w:rsid w:val="001041D4"/>
    <w:rsid w:val="001111B1"/>
    <w:rsid w:val="001112DE"/>
    <w:rsid w:val="00113DE3"/>
    <w:rsid w:val="001229C1"/>
    <w:rsid w:val="001378A6"/>
    <w:rsid w:val="001407DC"/>
    <w:rsid w:val="00147AE1"/>
    <w:rsid w:val="001508AD"/>
    <w:rsid w:val="00150D5C"/>
    <w:rsid w:val="00176BAF"/>
    <w:rsid w:val="001819C1"/>
    <w:rsid w:val="00185494"/>
    <w:rsid w:val="0019333A"/>
    <w:rsid w:val="001B2139"/>
    <w:rsid w:val="001C3297"/>
    <w:rsid w:val="001D36D3"/>
    <w:rsid w:val="001D4B81"/>
    <w:rsid w:val="001F5991"/>
    <w:rsid w:val="001F7DBC"/>
    <w:rsid w:val="00202942"/>
    <w:rsid w:val="002053A9"/>
    <w:rsid w:val="00206640"/>
    <w:rsid w:val="00220D7A"/>
    <w:rsid w:val="0023261F"/>
    <w:rsid w:val="00245630"/>
    <w:rsid w:val="00265E3A"/>
    <w:rsid w:val="00266420"/>
    <w:rsid w:val="002802E5"/>
    <w:rsid w:val="002837F0"/>
    <w:rsid w:val="00285835"/>
    <w:rsid w:val="00291B18"/>
    <w:rsid w:val="002A4AE2"/>
    <w:rsid w:val="002B187F"/>
    <w:rsid w:val="002B2B07"/>
    <w:rsid w:val="002C024E"/>
    <w:rsid w:val="002C2671"/>
    <w:rsid w:val="002F6DB9"/>
    <w:rsid w:val="00311AEF"/>
    <w:rsid w:val="003263A1"/>
    <w:rsid w:val="0033452A"/>
    <w:rsid w:val="003409D6"/>
    <w:rsid w:val="00342556"/>
    <w:rsid w:val="00347532"/>
    <w:rsid w:val="00350BE7"/>
    <w:rsid w:val="00354EDA"/>
    <w:rsid w:val="003552E1"/>
    <w:rsid w:val="00376BAC"/>
    <w:rsid w:val="003839A4"/>
    <w:rsid w:val="00384497"/>
    <w:rsid w:val="003961FC"/>
    <w:rsid w:val="003978F7"/>
    <w:rsid w:val="003B018F"/>
    <w:rsid w:val="003C2587"/>
    <w:rsid w:val="003E08E9"/>
    <w:rsid w:val="00404AB4"/>
    <w:rsid w:val="00414168"/>
    <w:rsid w:val="004225D5"/>
    <w:rsid w:val="004244CC"/>
    <w:rsid w:val="00434A15"/>
    <w:rsid w:val="00444647"/>
    <w:rsid w:val="004470A7"/>
    <w:rsid w:val="004473FA"/>
    <w:rsid w:val="00460139"/>
    <w:rsid w:val="004628AB"/>
    <w:rsid w:val="00463B93"/>
    <w:rsid w:val="004719E3"/>
    <w:rsid w:val="00474429"/>
    <w:rsid w:val="004841A8"/>
    <w:rsid w:val="00494B92"/>
    <w:rsid w:val="004A0F69"/>
    <w:rsid w:val="004A47B4"/>
    <w:rsid w:val="004A4A1C"/>
    <w:rsid w:val="004B69EE"/>
    <w:rsid w:val="004C683A"/>
    <w:rsid w:val="004D1E1D"/>
    <w:rsid w:val="004D35B2"/>
    <w:rsid w:val="004D683E"/>
    <w:rsid w:val="004E1784"/>
    <w:rsid w:val="004E1F26"/>
    <w:rsid w:val="004E7358"/>
    <w:rsid w:val="004F3BA6"/>
    <w:rsid w:val="005038C5"/>
    <w:rsid w:val="00507808"/>
    <w:rsid w:val="005206B0"/>
    <w:rsid w:val="00521121"/>
    <w:rsid w:val="005279A6"/>
    <w:rsid w:val="00534A9A"/>
    <w:rsid w:val="005421CC"/>
    <w:rsid w:val="00544DAD"/>
    <w:rsid w:val="00547CE3"/>
    <w:rsid w:val="005568FC"/>
    <w:rsid w:val="0057247C"/>
    <w:rsid w:val="00585B71"/>
    <w:rsid w:val="005A3261"/>
    <w:rsid w:val="005C2A6D"/>
    <w:rsid w:val="005E016F"/>
    <w:rsid w:val="005E12CB"/>
    <w:rsid w:val="005E5FC7"/>
    <w:rsid w:val="005F18D3"/>
    <w:rsid w:val="005F19DE"/>
    <w:rsid w:val="005F3395"/>
    <w:rsid w:val="005F6E1B"/>
    <w:rsid w:val="005F6FA4"/>
    <w:rsid w:val="006101E4"/>
    <w:rsid w:val="0061359D"/>
    <w:rsid w:val="00616524"/>
    <w:rsid w:val="006377EA"/>
    <w:rsid w:val="0065340C"/>
    <w:rsid w:val="00655E0C"/>
    <w:rsid w:val="0068371B"/>
    <w:rsid w:val="006A056B"/>
    <w:rsid w:val="006B274D"/>
    <w:rsid w:val="006B5265"/>
    <w:rsid w:val="006C0664"/>
    <w:rsid w:val="006E407C"/>
    <w:rsid w:val="006F43C4"/>
    <w:rsid w:val="00700865"/>
    <w:rsid w:val="00706CE7"/>
    <w:rsid w:val="00710FF0"/>
    <w:rsid w:val="00712128"/>
    <w:rsid w:val="00712F84"/>
    <w:rsid w:val="007154F1"/>
    <w:rsid w:val="00722BBF"/>
    <w:rsid w:val="00731F69"/>
    <w:rsid w:val="00750DC3"/>
    <w:rsid w:val="00773AC8"/>
    <w:rsid w:val="00781DF2"/>
    <w:rsid w:val="00785A55"/>
    <w:rsid w:val="007A6C65"/>
    <w:rsid w:val="007B01B3"/>
    <w:rsid w:val="007B05D1"/>
    <w:rsid w:val="007C7C41"/>
    <w:rsid w:val="007D2559"/>
    <w:rsid w:val="007D4892"/>
    <w:rsid w:val="007D6D66"/>
    <w:rsid w:val="007D6E0E"/>
    <w:rsid w:val="007E0833"/>
    <w:rsid w:val="00801062"/>
    <w:rsid w:val="00810469"/>
    <w:rsid w:val="00813A79"/>
    <w:rsid w:val="00825689"/>
    <w:rsid w:val="00826C2A"/>
    <w:rsid w:val="008655EF"/>
    <w:rsid w:val="00870587"/>
    <w:rsid w:val="00877D26"/>
    <w:rsid w:val="00885372"/>
    <w:rsid w:val="00885BB1"/>
    <w:rsid w:val="008A10B6"/>
    <w:rsid w:val="008A5D13"/>
    <w:rsid w:val="008B08ED"/>
    <w:rsid w:val="008B48B2"/>
    <w:rsid w:val="008E54DB"/>
    <w:rsid w:val="008E66EB"/>
    <w:rsid w:val="00903C20"/>
    <w:rsid w:val="00906CC5"/>
    <w:rsid w:val="00921051"/>
    <w:rsid w:val="00927127"/>
    <w:rsid w:val="009368D3"/>
    <w:rsid w:val="00937D1C"/>
    <w:rsid w:val="00951FAE"/>
    <w:rsid w:val="00961C65"/>
    <w:rsid w:val="00965F15"/>
    <w:rsid w:val="009754C8"/>
    <w:rsid w:val="009A1D1C"/>
    <w:rsid w:val="009B5FB6"/>
    <w:rsid w:val="009F30ED"/>
    <w:rsid w:val="00A0427B"/>
    <w:rsid w:val="00A12750"/>
    <w:rsid w:val="00A16F7A"/>
    <w:rsid w:val="00A20E43"/>
    <w:rsid w:val="00A23BA5"/>
    <w:rsid w:val="00A35BB7"/>
    <w:rsid w:val="00A37FF5"/>
    <w:rsid w:val="00A5392D"/>
    <w:rsid w:val="00A53A34"/>
    <w:rsid w:val="00A74CD8"/>
    <w:rsid w:val="00A77A98"/>
    <w:rsid w:val="00A81F44"/>
    <w:rsid w:val="00A91450"/>
    <w:rsid w:val="00A95092"/>
    <w:rsid w:val="00AA145B"/>
    <w:rsid w:val="00AB4256"/>
    <w:rsid w:val="00AC45ED"/>
    <w:rsid w:val="00AC51EC"/>
    <w:rsid w:val="00AD6534"/>
    <w:rsid w:val="00B0175F"/>
    <w:rsid w:val="00B22937"/>
    <w:rsid w:val="00B3412E"/>
    <w:rsid w:val="00B35BE1"/>
    <w:rsid w:val="00B37B00"/>
    <w:rsid w:val="00B52059"/>
    <w:rsid w:val="00B56A7F"/>
    <w:rsid w:val="00B66748"/>
    <w:rsid w:val="00B7493C"/>
    <w:rsid w:val="00B81ED0"/>
    <w:rsid w:val="00B87532"/>
    <w:rsid w:val="00B931B4"/>
    <w:rsid w:val="00BA2B80"/>
    <w:rsid w:val="00BB0BBD"/>
    <w:rsid w:val="00BD0325"/>
    <w:rsid w:val="00BE0D00"/>
    <w:rsid w:val="00BE743E"/>
    <w:rsid w:val="00BF5E60"/>
    <w:rsid w:val="00C10E71"/>
    <w:rsid w:val="00C56430"/>
    <w:rsid w:val="00C56BED"/>
    <w:rsid w:val="00C73F58"/>
    <w:rsid w:val="00CA2BEB"/>
    <w:rsid w:val="00CB7695"/>
    <w:rsid w:val="00CC512E"/>
    <w:rsid w:val="00CC68B0"/>
    <w:rsid w:val="00CD6C9C"/>
    <w:rsid w:val="00CF1803"/>
    <w:rsid w:val="00D069B4"/>
    <w:rsid w:val="00D159D5"/>
    <w:rsid w:val="00D1625A"/>
    <w:rsid w:val="00D17862"/>
    <w:rsid w:val="00D379A2"/>
    <w:rsid w:val="00D42DED"/>
    <w:rsid w:val="00D70A69"/>
    <w:rsid w:val="00D80103"/>
    <w:rsid w:val="00D85CA0"/>
    <w:rsid w:val="00D93253"/>
    <w:rsid w:val="00D9421F"/>
    <w:rsid w:val="00DA061F"/>
    <w:rsid w:val="00DA340E"/>
    <w:rsid w:val="00DA67B2"/>
    <w:rsid w:val="00DB2CAE"/>
    <w:rsid w:val="00DB5AB0"/>
    <w:rsid w:val="00DE24F7"/>
    <w:rsid w:val="00DF2E12"/>
    <w:rsid w:val="00E17DCF"/>
    <w:rsid w:val="00E17F55"/>
    <w:rsid w:val="00E250FD"/>
    <w:rsid w:val="00E271E4"/>
    <w:rsid w:val="00E3263D"/>
    <w:rsid w:val="00E51E05"/>
    <w:rsid w:val="00E538A7"/>
    <w:rsid w:val="00E53E1A"/>
    <w:rsid w:val="00E561F7"/>
    <w:rsid w:val="00E63107"/>
    <w:rsid w:val="00E72E7B"/>
    <w:rsid w:val="00E73810"/>
    <w:rsid w:val="00E8275B"/>
    <w:rsid w:val="00E92D41"/>
    <w:rsid w:val="00EA3476"/>
    <w:rsid w:val="00EC386A"/>
    <w:rsid w:val="00ED2FB9"/>
    <w:rsid w:val="00ED7572"/>
    <w:rsid w:val="00ED7CA5"/>
    <w:rsid w:val="00EE4071"/>
    <w:rsid w:val="00EF202B"/>
    <w:rsid w:val="00EF4C05"/>
    <w:rsid w:val="00F10332"/>
    <w:rsid w:val="00F43369"/>
    <w:rsid w:val="00F74538"/>
    <w:rsid w:val="00F7673C"/>
    <w:rsid w:val="00F87DB3"/>
    <w:rsid w:val="00F93939"/>
    <w:rsid w:val="00F97CC3"/>
    <w:rsid w:val="00FB34C2"/>
    <w:rsid w:val="00FB54AC"/>
    <w:rsid w:val="00FB6547"/>
    <w:rsid w:val="00FB69EE"/>
    <w:rsid w:val="00FB6DDB"/>
    <w:rsid w:val="00FB71AB"/>
    <w:rsid w:val="00FB7D38"/>
    <w:rsid w:val="00FC53F2"/>
    <w:rsid w:val="00FE2A63"/>
    <w:rsid w:val="00FF2603"/>
    <w:rsid w:val="024018DF"/>
    <w:rsid w:val="02F54FC6"/>
    <w:rsid w:val="04114082"/>
    <w:rsid w:val="073E518E"/>
    <w:rsid w:val="0CA75AD6"/>
    <w:rsid w:val="0D5166FE"/>
    <w:rsid w:val="0EE83C31"/>
    <w:rsid w:val="0F705427"/>
    <w:rsid w:val="1085687A"/>
    <w:rsid w:val="11AA79EB"/>
    <w:rsid w:val="12476873"/>
    <w:rsid w:val="145F6D78"/>
    <w:rsid w:val="15DD1DF8"/>
    <w:rsid w:val="15F91F17"/>
    <w:rsid w:val="16B12AC5"/>
    <w:rsid w:val="19FE4DC1"/>
    <w:rsid w:val="1C0E2CEB"/>
    <w:rsid w:val="1C874A89"/>
    <w:rsid w:val="1CB15175"/>
    <w:rsid w:val="1DD825A7"/>
    <w:rsid w:val="2A166BC1"/>
    <w:rsid w:val="2D0D4B37"/>
    <w:rsid w:val="2FAF6379"/>
    <w:rsid w:val="31852582"/>
    <w:rsid w:val="32AB3BB0"/>
    <w:rsid w:val="36993C98"/>
    <w:rsid w:val="36A42976"/>
    <w:rsid w:val="371A4C8C"/>
    <w:rsid w:val="38136454"/>
    <w:rsid w:val="3B0F6ACC"/>
    <w:rsid w:val="3BEE6177"/>
    <w:rsid w:val="3D422619"/>
    <w:rsid w:val="40E616BA"/>
    <w:rsid w:val="40EB2F89"/>
    <w:rsid w:val="42876CE2"/>
    <w:rsid w:val="4349552E"/>
    <w:rsid w:val="4390748B"/>
    <w:rsid w:val="45EE264F"/>
    <w:rsid w:val="47EE40E5"/>
    <w:rsid w:val="47F87C39"/>
    <w:rsid w:val="482B4F0B"/>
    <w:rsid w:val="49FF0303"/>
    <w:rsid w:val="507A645F"/>
    <w:rsid w:val="52691F60"/>
    <w:rsid w:val="52BC34CC"/>
    <w:rsid w:val="53B31AE1"/>
    <w:rsid w:val="54F16ABB"/>
    <w:rsid w:val="55F90418"/>
    <w:rsid w:val="597B5CF8"/>
    <w:rsid w:val="5D7E5824"/>
    <w:rsid w:val="60194FC5"/>
    <w:rsid w:val="645E6340"/>
    <w:rsid w:val="65E07A26"/>
    <w:rsid w:val="665146E0"/>
    <w:rsid w:val="67026690"/>
    <w:rsid w:val="675E59B4"/>
    <w:rsid w:val="68320EBE"/>
    <w:rsid w:val="68840209"/>
    <w:rsid w:val="696372E0"/>
    <w:rsid w:val="6CCB679F"/>
    <w:rsid w:val="749079D4"/>
    <w:rsid w:val="75071439"/>
    <w:rsid w:val="76A0780E"/>
    <w:rsid w:val="791E765C"/>
    <w:rsid w:val="7A3175D2"/>
    <w:rsid w:val="7D415502"/>
    <w:rsid w:val="7EC11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nhideWhenUsed="0" w:uiPriority="0" w:semiHidden="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83"/>
    <w:autoRedefine/>
    <w:qFormat/>
    <w:uiPriority w:val="0"/>
    <w:pPr>
      <w:keepNext/>
      <w:keepLines/>
      <w:spacing w:line="360" w:lineRule="auto"/>
      <w:outlineLvl w:val="1"/>
    </w:pPr>
    <w:rPr>
      <w:rFonts w:ascii="Arial" w:hAnsi="Arial"/>
      <w:b/>
      <w:bCs/>
      <w:sz w:val="24"/>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3">
    <w:name w:val="Normal Indent"/>
    <w:basedOn w:val="1"/>
    <w:next w:val="4"/>
    <w:autoRedefine/>
    <w:qFormat/>
    <w:uiPriority w:val="0"/>
    <w:pPr>
      <w:ind w:firstLine="420" w:firstLineChars="200"/>
    </w:pPr>
    <w:rPr>
      <w:rFonts w:ascii="Calibri" w:hAnsi="Calibri"/>
      <w:sz w:val="24"/>
      <w:szCs w:val="22"/>
    </w:rPr>
  </w:style>
  <w:style w:type="paragraph" w:customStyle="1" w:styleId="4">
    <w:name w:val="Default"/>
    <w:autoRedefine/>
    <w:qFormat/>
    <w:uiPriority w:val="0"/>
    <w:pPr>
      <w:widowControl w:val="0"/>
      <w:autoSpaceDE w:val="0"/>
      <w:autoSpaceDN w:val="0"/>
      <w:adjustRightInd w:val="0"/>
    </w:pPr>
    <w:rPr>
      <w:rFonts w:ascii="黑体" w:hAnsi="Times New Roman" w:eastAsia="黑体" w:cs="Times New Roman"/>
      <w:lang w:val="en-US" w:eastAsia="zh-CN" w:bidi="ar-SA"/>
    </w:rPr>
  </w:style>
  <w:style w:type="paragraph" w:styleId="5">
    <w:name w:val="annotation text"/>
    <w:basedOn w:val="1"/>
    <w:link w:val="86"/>
    <w:semiHidden/>
    <w:unhideWhenUsed/>
    <w:qFormat/>
    <w:uiPriority w:val="0"/>
    <w:pPr>
      <w:jc w:val="left"/>
    </w:pPr>
  </w:style>
  <w:style w:type="paragraph" w:styleId="6">
    <w:name w:val="Body Text"/>
    <w:basedOn w:val="1"/>
    <w:link w:val="84"/>
    <w:autoRedefine/>
    <w:qFormat/>
    <w:uiPriority w:val="0"/>
    <w:pPr>
      <w:spacing w:after="120"/>
    </w:pPr>
  </w:style>
  <w:style w:type="paragraph" w:styleId="7">
    <w:name w:val="Body Text Indent"/>
    <w:basedOn w:val="1"/>
    <w:next w:val="8"/>
    <w:link w:val="79"/>
    <w:autoRedefine/>
    <w:qFormat/>
    <w:uiPriority w:val="0"/>
    <w:pPr>
      <w:adjustRightInd w:val="0"/>
      <w:snapToGrid w:val="0"/>
      <w:spacing w:line="360" w:lineRule="atLeast"/>
      <w:ind w:firstLine="480"/>
    </w:pPr>
    <w:rPr>
      <w:sz w:val="24"/>
    </w:rPr>
  </w:style>
  <w:style w:type="paragraph" w:styleId="8">
    <w:name w:val="Body Text Indent 2"/>
    <w:basedOn w:val="1"/>
    <w:next w:val="1"/>
    <w:autoRedefine/>
    <w:qFormat/>
    <w:uiPriority w:val="0"/>
    <w:pPr>
      <w:spacing w:after="120" w:line="480" w:lineRule="auto"/>
      <w:ind w:left="420" w:leftChars="200"/>
    </w:pPr>
  </w:style>
  <w:style w:type="paragraph" w:styleId="9">
    <w:name w:val="Balloon Text"/>
    <w:basedOn w:val="1"/>
    <w:autoRedefine/>
    <w:semiHidden/>
    <w:qFormat/>
    <w:uiPriority w:val="0"/>
    <w:rPr>
      <w:sz w:val="18"/>
      <w:szCs w:val="18"/>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Body Text 2"/>
    <w:basedOn w:val="1"/>
    <w:link w:val="81"/>
    <w:autoRedefine/>
    <w:qFormat/>
    <w:uiPriority w:val="0"/>
    <w:pPr>
      <w:spacing w:after="120" w:line="480" w:lineRule="auto"/>
    </w:pPr>
  </w:style>
  <w:style w:type="paragraph" w:styleId="13">
    <w:name w:val="Normal (Web)"/>
    <w:basedOn w:val="1"/>
    <w:autoRedefine/>
    <w:qFormat/>
    <w:uiPriority w:val="99"/>
    <w:pPr>
      <w:widowControl/>
      <w:spacing w:before="100" w:beforeAutospacing="1" w:after="100" w:afterAutospacing="1"/>
      <w:jc w:val="left"/>
    </w:pPr>
    <w:rPr>
      <w:rFonts w:ascii="宋体" w:hAnsi="宋体"/>
      <w:kern w:val="0"/>
      <w:sz w:val="24"/>
    </w:rPr>
  </w:style>
  <w:style w:type="paragraph" w:styleId="14">
    <w:name w:val="annotation subject"/>
    <w:basedOn w:val="5"/>
    <w:next w:val="5"/>
    <w:link w:val="87"/>
    <w:semiHidden/>
    <w:unhideWhenUsed/>
    <w:qFormat/>
    <w:uiPriority w:val="0"/>
    <w:rPr>
      <w:b/>
      <w:bCs/>
    </w:rPr>
  </w:style>
  <w:style w:type="paragraph" w:styleId="15">
    <w:name w:val="Body Text First Indent 2"/>
    <w:basedOn w:val="7"/>
    <w:next w:val="1"/>
    <w:link w:val="80"/>
    <w:autoRedefine/>
    <w:qFormat/>
    <w:uiPriority w:val="0"/>
    <w:pPr>
      <w:adjustRightInd/>
      <w:snapToGrid/>
      <w:spacing w:after="120" w:line="240" w:lineRule="auto"/>
      <w:ind w:left="420" w:leftChars="200" w:firstLine="420" w:firstLineChars="200"/>
    </w:pPr>
    <w:rPr>
      <w:sz w:val="21"/>
    </w:rPr>
  </w:style>
  <w:style w:type="table" w:styleId="17">
    <w:name w:val="Table Grid"/>
    <w:basedOn w:val="16"/>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character" w:styleId="20">
    <w:name w:val="FollowedHyperlink"/>
    <w:autoRedefine/>
    <w:unhideWhenUsed/>
    <w:qFormat/>
    <w:uiPriority w:val="99"/>
    <w:rPr>
      <w:color w:val="800080"/>
      <w:u w:val="single"/>
    </w:rPr>
  </w:style>
  <w:style w:type="character" w:styleId="21">
    <w:name w:val="Emphasis"/>
    <w:autoRedefine/>
    <w:qFormat/>
    <w:uiPriority w:val="0"/>
    <w:rPr>
      <w:color w:val="CC0000"/>
    </w:rPr>
  </w:style>
  <w:style w:type="character" w:styleId="22">
    <w:name w:val="Hyperlink"/>
    <w:autoRedefine/>
    <w:qFormat/>
    <w:uiPriority w:val="99"/>
    <w:rPr>
      <w:color w:val="990000"/>
      <w:sz w:val="18"/>
      <w:szCs w:val="18"/>
      <w:u w:val="none"/>
    </w:rPr>
  </w:style>
  <w:style w:type="character" w:styleId="23">
    <w:name w:val="annotation reference"/>
    <w:autoRedefine/>
    <w:qFormat/>
    <w:uiPriority w:val="0"/>
    <w:rPr>
      <w:sz w:val="21"/>
      <w:szCs w:val="21"/>
    </w:rPr>
  </w:style>
  <w:style w:type="character" w:customStyle="1" w:styleId="24">
    <w:name w:val="style21"/>
    <w:autoRedefine/>
    <w:qFormat/>
    <w:uiPriority w:val="0"/>
    <w:rPr>
      <w:sz w:val="22"/>
      <w:szCs w:val="22"/>
    </w:rPr>
  </w:style>
  <w:style w:type="character" w:customStyle="1" w:styleId="25">
    <w:name w:val="font21"/>
    <w:autoRedefine/>
    <w:qFormat/>
    <w:uiPriority w:val="0"/>
    <w:rPr>
      <w:rFonts w:hint="eastAsia" w:ascii="宋体" w:hAnsi="宋体" w:eastAsia="宋体" w:cs="宋体"/>
      <w:color w:val="000000"/>
      <w:sz w:val="20"/>
      <w:szCs w:val="20"/>
      <w:u w:val="none"/>
    </w:rPr>
  </w:style>
  <w:style w:type="character" w:customStyle="1" w:styleId="26">
    <w:name w:val="font41"/>
    <w:autoRedefine/>
    <w:qFormat/>
    <w:uiPriority w:val="0"/>
    <w:rPr>
      <w:rFonts w:ascii="微软雅黑" w:hAnsi="微软雅黑" w:eastAsia="微软雅黑" w:cs="微软雅黑"/>
      <w:b/>
      <w:color w:val="000000"/>
      <w:sz w:val="40"/>
      <w:szCs w:val="40"/>
      <w:u w:val="none"/>
    </w:rPr>
  </w:style>
  <w:style w:type="character" w:customStyle="1" w:styleId="27">
    <w:name w:val="font01"/>
    <w:autoRedefine/>
    <w:qFormat/>
    <w:uiPriority w:val="0"/>
    <w:rPr>
      <w:rFonts w:hint="eastAsia" w:ascii="宋体" w:hAnsi="宋体" w:eastAsia="宋体" w:cs="宋体"/>
      <w:color w:val="000000"/>
      <w:sz w:val="22"/>
      <w:szCs w:val="22"/>
      <w:u w:val="none"/>
    </w:rPr>
  </w:style>
  <w:style w:type="character" w:customStyle="1" w:styleId="28">
    <w:name w:val="font31"/>
    <w:autoRedefine/>
    <w:qFormat/>
    <w:uiPriority w:val="0"/>
    <w:rPr>
      <w:rFonts w:hint="eastAsia" w:ascii="微软雅黑" w:hAnsi="微软雅黑" w:eastAsia="微软雅黑" w:cs="微软雅黑"/>
      <w:color w:val="000000"/>
      <w:sz w:val="20"/>
      <w:szCs w:val="20"/>
      <w:u w:val="none"/>
    </w:rPr>
  </w:style>
  <w:style w:type="paragraph" w:customStyle="1" w:styleId="29">
    <w:name w:val="font5"/>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0">
    <w:name w:val="font6"/>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1">
    <w:name w:val="font7"/>
    <w:basedOn w:val="1"/>
    <w:autoRedefine/>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32">
    <w:name w:val="font8"/>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3">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4">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5">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6">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Tahoma" w:hAnsi="Tahoma" w:cs="Tahoma"/>
      <w:color w:val="000000"/>
      <w:kern w:val="0"/>
      <w:sz w:val="24"/>
    </w:rPr>
  </w:style>
  <w:style w:type="paragraph" w:customStyle="1" w:styleId="37">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38">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color w:val="000000"/>
      <w:kern w:val="0"/>
      <w:sz w:val="24"/>
    </w:rPr>
  </w:style>
  <w:style w:type="paragraph" w:customStyle="1" w:styleId="39">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0">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宋体" w:hAnsi="宋体" w:cs="宋体"/>
      <w:color w:val="000000"/>
      <w:kern w:val="0"/>
      <w:sz w:val="24"/>
    </w:rPr>
  </w:style>
  <w:style w:type="paragraph" w:customStyle="1" w:styleId="41">
    <w:name w:val="xl8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2">
    <w:name w:val="xl82"/>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3">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4">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5">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6">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7">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48">
    <w:name w:val="xl8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49">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000000"/>
      <w:kern w:val="0"/>
      <w:sz w:val="24"/>
    </w:rPr>
  </w:style>
  <w:style w:type="paragraph" w:customStyle="1" w:styleId="50">
    <w:name w:val="xl9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1">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2">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3">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333333"/>
      <w:kern w:val="0"/>
      <w:sz w:val="24"/>
    </w:rPr>
  </w:style>
  <w:style w:type="paragraph" w:customStyle="1" w:styleId="54">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color w:val="000000"/>
      <w:kern w:val="0"/>
      <w:sz w:val="24"/>
    </w:rPr>
  </w:style>
  <w:style w:type="paragraph" w:customStyle="1" w:styleId="55">
    <w:name w:val="xl9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56">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7">
    <w:name w:val="xl9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58">
    <w:name w:val="xl9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59">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0">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1">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62">
    <w:name w:val="xl102"/>
    <w:basedOn w:val="1"/>
    <w:autoRedefine/>
    <w:qFormat/>
    <w:uiPriority w:val="0"/>
    <w:pPr>
      <w:widowControl/>
      <w:spacing w:before="100" w:beforeAutospacing="1" w:after="100" w:afterAutospacing="1"/>
      <w:jc w:val="center"/>
    </w:pPr>
    <w:rPr>
      <w:rFonts w:ascii="宋体" w:hAnsi="宋体" w:cs="宋体"/>
      <w:kern w:val="0"/>
      <w:sz w:val="24"/>
    </w:rPr>
  </w:style>
  <w:style w:type="paragraph" w:customStyle="1" w:styleId="63">
    <w:name w:val="xl10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64">
    <w:name w:val="xl10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kern w:val="0"/>
      <w:sz w:val="24"/>
    </w:rPr>
  </w:style>
  <w:style w:type="paragraph" w:customStyle="1" w:styleId="65">
    <w:name w:val="xl10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b/>
      <w:bCs/>
      <w:color w:val="000000"/>
      <w:kern w:val="0"/>
      <w:sz w:val="24"/>
    </w:rPr>
  </w:style>
  <w:style w:type="paragraph" w:customStyle="1" w:styleId="66">
    <w:name w:val="xl106"/>
    <w:basedOn w:val="1"/>
    <w:autoRedefine/>
    <w:qFormat/>
    <w:uiPriority w:val="0"/>
    <w:pPr>
      <w:widowControl/>
      <w:spacing w:before="100" w:beforeAutospacing="1" w:after="100" w:afterAutospacing="1"/>
      <w:jc w:val="center"/>
    </w:pPr>
    <w:rPr>
      <w:rFonts w:ascii="宋体" w:hAnsi="宋体" w:cs="宋体"/>
      <w:b/>
      <w:bCs/>
      <w:kern w:val="0"/>
      <w:sz w:val="24"/>
    </w:rPr>
  </w:style>
  <w:style w:type="paragraph" w:customStyle="1" w:styleId="67">
    <w:name w:val="xl107"/>
    <w:basedOn w:val="1"/>
    <w:autoRedefine/>
    <w:qFormat/>
    <w:uiPriority w:val="0"/>
    <w:pPr>
      <w:widowControl/>
      <w:spacing w:before="100" w:beforeAutospacing="1" w:after="100" w:afterAutospacing="1"/>
      <w:jc w:val="left"/>
      <w:textAlignment w:val="bottom"/>
    </w:pPr>
    <w:rPr>
      <w:rFonts w:ascii="宋体" w:hAnsi="宋体" w:cs="宋体"/>
      <w:kern w:val="0"/>
      <w:sz w:val="22"/>
      <w:szCs w:val="22"/>
    </w:rPr>
  </w:style>
  <w:style w:type="paragraph" w:customStyle="1" w:styleId="68">
    <w:name w:val="xl10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2"/>
      <w:szCs w:val="22"/>
    </w:rPr>
  </w:style>
  <w:style w:type="paragraph" w:customStyle="1" w:styleId="69">
    <w:name w:val="xl109"/>
    <w:basedOn w:val="1"/>
    <w:autoRedefine/>
    <w:qFormat/>
    <w:uiPriority w:val="0"/>
    <w:pPr>
      <w:widowControl/>
      <w:pBdr>
        <w:bottom w:val="single" w:color="auto" w:sz="4" w:space="0"/>
      </w:pBdr>
      <w:spacing w:before="100" w:beforeAutospacing="1" w:after="100" w:afterAutospacing="1"/>
      <w:jc w:val="center"/>
    </w:pPr>
    <w:rPr>
      <w:rFonts w:ascii="宋体" w:hAnsi="宋体" w:cs="宋体"/>
      <w:b/>
      <w:bCs/>
      <w:kern w:val="0"/>
      <w:sz w:val="32"/>
      <w:szCs w:val="32"/>
    </w:rPr>
  </w:style>
  <w:style w:type="paragraph" w:customStyle="1" w:styleId="70">
    <w:name w:val="xl110"/>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1">
    <w:name w:val="xl111"/>
    <w:basedOn w:val="1"/>
    <w:autoRedefine/>
    <w:qFormat/>
    <w:uiPriority w:val="0"/>
    <w:pPr>
      <w:widowControl/>
      <w:pBdr>
        <w:top w:val="single" w:color="auto" w:sz="4" w:space="0"/>
        <w:bottom w:val="single" w:color="auto" w:sz="4" w:space="0"/>
      </w:pBdr>
      <w:spacing w:before="100" w:beforeAutospacing="1" w:after="100" w:afterAutospacing="1"/>
      <w:jc w:val="center"/>
    </w:pPr>
    <w:rPr>
      <w:rFonts w:ascii="宋体" w:hAnsi="宋体" w:cs="宋体"/>
      <w:kern w:val="0"/>
      <w:sz w:val="22"/>
      <w:szCs w:val="22"/>
    </w:rPr>
  </w:style>
  <w:style w:type="paragraph" w:customStyle="1" w:styleId="72">
    <w:name w:val="xl11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2"/>
      <w:szCs w:val="22"/>
    </w:rPr>
  </w:style>
  <w:style w:type="paragraph" w:customStyle="1" w:styleId="73">
    <w:name w:val="xl11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character" w:customStyle="1" w:styleId="74">
    <w:name w:val="font51"/>
    <w:basedOn w:val="18"/>
    <w:autoRedefine/>
    <w:qFormat/>
    <w:uiPriority w:val="0"/>
    <w:rPr>
      <w:rFonts w:hint="eastAsia" w:ascii="宋体" w:hAnsi="宋体" w:eastAsia="宋体" w:cs="宋体"/>
      <w:color w:val="000000"/>
      <w:sz w:val="24"/>
      <w:szCs w:val="24"/>
      <w:u w:val="none"/>
    </w:rPr>
  </w:style>
  <w:style w:type="character" w:customStyle="1" w:styleId="75">
    <w:name w:val="font81"/>
    <w:basedOn w:val="18"/>
    <w:autoRedefine/>
    <w:qFormat/>
    <w:uiPriority w:val="0"/>
    <w:rPr>
      <w:rFonts w:hint="eastAsia" w:ascii="宋体" w:hAnsi="宋体" w:eastAsia="宋体" w:cs="宋体"/>
      <w:color w:val="000000"/>
      <w:sz w:val="24"/>
      <w:szCs w:val="24"/>
      <w:u w:val="none"/>
    </w:rPr>
  </w:style>
  <w:style w:type="character" w:customStyle="1" w:styleId="76">
    <w:name w:val="font151"/>
    <w:basedOn w:val="18"/>
    <w:autoRedefine/>
    <w:qFormat/>
    <w:uiPriority w:val="0"/>
    <w:rPr>
      <w:rFonts w:hint="eastAsia" w:ascii="宋体" w:hAnsi="宋体" w:eastAsia="宋体" w:cs="宋体"/>
      <w:b/>
      <w:bCs/>
      <w:color w:val="000000"/>
      <w:sz w:val="24"/>
      <w:szCs w:val="24"/>
      <w:u w:val="none"/>
    </w:rPr>
  </w:style>
  <w:style w:type="character" w:customStyle="1" w:styleId="77">
    <w:name w:val="font161"/>
    <w:basedOn w:val="18"/>
    <w:autoRedefine/>
    <w:qFormat/>
    <w:uiPriority w:val="0"/>
    <w:rPr>
      <w:rFonts w:hint="eastAsia" w:ascii="宋体" w:hAnsi="宋体" w:eastAsia="宋体" w:cs="宋体"/>
      <w:b/>
      <w:bCs/>
      <w:color w:val="000000"/>
      <w:sz w:val="22"/>
      <w:szCs w:val="22"/>
      <w:u w:val="none"/>
    </w:rPr>
  </w:style>
  <w:style w:type="paragraph" w:styleId="78">
    <w:name w:val="List Paragraph"/>
    <w:basedOn w:val="1"/>
    <w:autoRedefine/>
    <w:unhideWhenUsed/>
    <w:qFormat/>
    <w:uiPriority w:val="99"/>
    <w:pPr>
      <w:ind w:firstLine="420" w:firstLineChars="200"/>
    </w:pPr>
  </w:style>
  <w:style w:type="character" w:customStyle="1" w:styleId="79">
    <w:name w:val="正文文本缩进 字符"/>
    <w:basedOn w:val="18"/>
    <w:link w:val="7"/>
    <w:autoRedefine/>
    <w:qFormat/>
    <w:uiPriority w:val="0"/>
    <w:rPr>
      <w:kern w:val="2"/>
      <w:sz w:val="24"/>
      <w:szCs w:val="24"/>
    </w:rPr>
  </w:style>
  <w:style w:type="character" w:customStyle="1" w:styleId="80">
    <w:name w:val="正文文本首行缩进 2 字符"/>
    <w:basedOn w:val="79"/>
    <w:link w:val="15"/>
    <w:autoRedefine/>
    <w:qFormat/>
    <w:uiPriority w:val="0"/>
    <w:rPr>
      <w:kern w:val="2"/>
      <w:sz w:val="24"/>
      <w:szCs w:val="24"/>
    </w:rPr>
  </w:style>
  <w:style w:type="character" w:customStyle="1" w:styleId="81">
    <w:name w:val="正文文本 2 字符"/>
    <w:basedOn w:val="18"/>
    <w:link w:val="12"/>
    <w:autoRedefine/>
    <w:qFormat/>
    <w:uiPriority w:val="0"/>
    <w:rPr>
      <w:kern w:val="2"/>
      <w:sz w:val="21"/>
      <w:szCs w:val="24"/>
    </w:rPr>
  </w:style>
  <w:style w:type="paragraph" w:customStyle="1" w:styleId="82">
    <w:name w:val="列表段落1"/>
    <w:basedOn w:val="1"/>
    <w:autoRedefine/>
    <w:qFormat/>
    <w:uiPriority w:val="99"/>
    <w:pPr>
      <w:widowControl/>
      <w:spacing w:before="50" w:after="50" w:line="400" w:lineRule="exact"/>
      <w:ind w:left="720"/>
      <w:contextualSpacing/>
      <w:jc w:val="left"/>
    </w:pPr>
    <w:rPr>
      <w:kern w:val="0"/>
      <w:sz w:val="24"/>
    </w:rPr>
  </w:style>
  <w:style w:type="character" w:customStyle="1" w:styleId="83">
    <w:name w:val="标题 2 字符"/>
    <w:basedOn w:val="18"/>
    <w:link w:val="2"/>
    <w:autoRedefine/>
    <w:qFormat/>
    <w:uiPriority w:val="0"/>
    <w:rPr>
      <w:rFonts w:ascii="Arial" w:hAnsi="Arial"/>
      <w:b/>
      <w:bCs/>
      <w:kern w:val="2"/>
      <w:sz w:val="24"/>
      <w:szCs w:val="32"/>
    </w:rPr>
  </w:style>
  <w:style w:type="character" w:customStyle="1" w:styleId="84">
    <w:name w:val="正文文本 字符"/>
    <w:basedOn w:val="18"/>
    <w:link w:val="6"/>
    <w:autoRedefine/>
    <w:qFormat/>
    <w:uiPriority w:val="0"/>
    <w:rPr>
      <w:kern w:val="2"/>
      <w:sz w:val="21"/>
      <w:szCs w:val="24"/>
    </w:rPr>
  </w:style>
  <w:style w:type="paragraph" w:customStyle="1" w:styleId="85">
    <w:name w:val="EndnoteText"/>
    <w:basedOn w:val="1"/>
    <w:autoRedefine/>
    <w:qFormat/>
    <w:uiPriority w:val="0"/>
  </w:style>
  <w:style w:type="character" w:customStyle="1" w:styleId="86">
    <w:name w:val="批注文字 字符"/>
    <w:basedOn w:val="18"/>
    <w:link w:val="5"/>
    <w:semiHidden/>
    <w:qFormat/>
    <w:uiPriority w:val="0"/>
    <w:rPr>
      <w:kern w:val="2"/>
      <w:sz w:val="21"/>
      <w:szCs w:val="24"/>
    </w:rPr>
  </w:style>
  <w:style w:type="character" w:customStyle="1" w:styleId="87">
    <w:name w:val="批注主题 字符"/>
    <w:basedOn w:val="86"/>
    <w:link w:val="14"/>
    <w:semiHidden/>
    <w:qFormat/>
    <w:uiPriority w:val="0"/>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5C7C0-2B6D-4A4D-8B98-D5D76F8894DE}">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18</Pages>
  <Words>8021</Words>
  <Characters>8336</Characters>
  <Lines>68</Lines>
  <Paragraphs>19</Paragraphs>
  <TotalTime>0</TotalTime>
  <ScaleCrop>false</ScaleCrop>
  <LinksUpToDate>false</LinksUpToDate>
  <CharactersWithSpaces>9034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2024-03-20T03:11:00Z</dcterms:created>
  <dc:creator>jwc</dc:creator>
  <cp:lastModifiedBy>茜茜坨</cp:lastModifiedBy>
  <cp:lastPrinted>2024-03-20T03:03:00Z</cp:lastPrinted>
  <dcterms:modified xsi:type="dcterms:W3CDTF">2024-06-05T04:40:40Z</dcterms:modified>
  <dc:title>湖南科技大学2005-2006年教材招标</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1D4B2621E17F42A89C193AC4BB527B1D_13</vt:lpwstr>
  </property>
</Properties>
</file>