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kern w:val="0"/>
          <w:sz w:val="24"/>
        </w:rPr>
      </w:pPr>
      <w:r>
        <w:rPr>
          <w:rFonts w:hint="eastAsia" w:ascii="宋体" w:hAnsi="宋体" w:cs="宋体"/>
          <w:kern w:val="0"/>
          <w:sz w:val="24"/>
        </w:rPr>
        <w:t xml:space="preserve">                                                      </w:t>
      </w:r>
    </w:p>
    <w:p>
      <w:pPr>
        <w:jc w:val="center"/>
        <w:rPr>
          <w:rFonts w:eastAsia="黑体"/>
          <w:sz w:val="36"/>
        </w:rPr>
      </w:pPr>
    </w:p>
    <w:p>
      <w:pPr>
        <w:jc w:val="center"/>
        <w:rPr>
          <w:rFonts w:eastAsia="黑体"/>
          <w:b/>
          <w:sz w:val="52"/>
          <w:szCs w:val="52"/>
        </w:rPr>
      </w:pPr>
      <w:bookmarkStart w:id="0" w:name="_Hlk160805985"/>
      <w:r>
        <w:rPr>
          <w:rFonts w:hint="eastAsia" w:eastAsia="黑体"/>
          <w:b/>
          <w:sz w:val="52"/>
          <w:szCs w:val="52"/>
        </w:rPr>
        <w:t>湖南化工职业技术学院</w:t>
      </w:r>
    </w:p>
    <w:bookmarkEnd w:id="0"/>
    <w:p>
      <w:pPr>
        <w:jc w:val="center"/>
        <w:rPr>
          <w:rFonts w:eastAsia="黑体"/>
          <w:b/>
          <w:sz w:val="52"/>
          <w:szCs w:val="52"/>
        </w:rPr>
      </w:pPr>
      <w:r>
        <w:rPr>
          <w:rFonts w:hint="eastAsia" w:eastAsia="黑体"/>
          <w:b/>
          <w:sz w:val="52"/>
          <w:szCs w:val="52"/>
        </w:rPr>
        <w:t>五金、日杂及木质材料供应商采购项目</w:t>
      </w:r>
    </w:p>
    <w:p>
      <w:pPr>
        <w:spacing w:before="312" w:beforeLines="100"/>
        <w:jc w:val="center"/>
        <w:rPr>
          <w:rFonts w:ascii="黑体" w:hAnsi="黑体" w:eastAsia="黑体" w:cs="黑体"/>
          <w:sz w:val="84"/>
          <w:szCs w:val="84"/>
        </w:rPr>
      </w:pPr>
      <w:r>
        <w:rPr>
          <w:rFonts w:hint="eastAsia" w:ascii="黑体" w:hAnsi="黑体" w:eastAsia="黑体" w:cs="黑体"/>
          <w:sz w:val="84"/>
          <w:szCs w:val="84"/>
        </w:rPr>
        <w:t>比选文件</w:t>
      </w:r>
    </w:p>
    <w:p/>
    <w:p/>
    <w:p/>
    <w:p/>
    <w:p/>
    <w:p/>
    <w:p/>
    <w:p/>
    <w:p/>
    <w:p/>
    <w:p/>
    <w:p/>
    <w:p/>
    <w:p/>
    <w:p/>
    <w:p/>
    <w:p/>
    <w:p/>
    <w:p/>
    <w:p/>
    <w:p/>
    <w:p/>
    <w:p/>
    <w:p/>
    <w:p/>
    <w:p>
      <w:pPr>
        <w:jc w:val="center"/>
        <w:rPr>
          <w:sz w:val="32"/>
        </w:rPr>
      </w:pPr>
      <w:r>
        <w:rPr>
          <w:rFonts w:hint="eastAsia"/>
          <w:sz w:val="32"/>
        </w:rPr>
        <w:t>202</w:t>
      </w:r>
      <w:r>
        <w:rPr>
          <w:sz w:val="32"/>
        </w:rPr>
        <w:t>4</w:t>
      </w:r>
      <w:r>
        <w:rPr>
          <w:rFonts w:hint="eastAsia"/>
          <w:sz w:val="32"/>
        </w:rPr>
        <w:t>年6月</w:t>
      </w:r>
    </w:p>
    <w:p/>
    <w:p/>
    <w:p>
      <w:pPr>
        <w:widowControl/>
        <w:spacing w:line="360" w:lineRule="auto"/>
        <w:jc w:val="center"/>
        <w:rPr>
          <w:rFonts w:ascii="宋体" w:hAnsi="宋体" w:cs="宋体"/>
          <w:b/>
          <w:color w:val="FF0000"/>
          <w:kern w:val="0"/>
          <w:sz w:val="36"/>
          <w:szCs w:val="36"/>
        </w:rPr>
      </w:pPr>
      <w:r>
        <w:rPr>
          <w:rFonts w:hint="eastAsia" w:ascii="宋体" w:hAnsi="宋体" w:cs="宋体"/>
          <w:b/>
          <w:color w:val="FF0000"/>
          <w:kern w:val="0"/>
          <w:sz w:val="36"/>
          <w:szCs w:val="36"/>
        </w:rPr>
        <w:t>湖南化工职业技术学院</w:t>
      </w:r>
    </w:p>
    <w:p>
      <w:pPr>
        <w:widowControl/>
        <w:spacing w:line="360" w:lineRule="auto"/>
        <w:jc w:val="center"/>
        <w:rPr>
          <w:rFonts w:ascii="宋体" w:hAnsi="宋体" w:cs="宋体"/>
          <w:b/>
          <w:color w:val="FF0000"/>
          <w:kern w:val="0"/>
          <w:sz w:val="36"/>
          <w:szCs w:val="36"/>
        </w:rPr>
      </w:pPr>
      <w:r>
        <w:rPr>
          <w:rFonts w:hint="eastAsia" w:ascii="宋体" w:hAnsi="宋体" w:cs="宋体"/>
          <w:b/>
          <w:color w:val="FF0000"/>
          <w:kern w:val="0"/>
          <w:sz w:val="36"/>
          <w:szCs w:val="36"/>
        </w:rPr>
        <w:t>五金、日杂及木质材料供应商采购项目比选公告</w:t>
      </w:r>
    </w:p>
    <w:p>
      <w:pPr>
        <w:widowControl/>
        <w:spacing w:before="124" w:beforeLines="40" w:after="124" w:afterLines="40" w:line="360" w:lineRule="auto"/>
        <w:ind w:firstLine="360" w:firstLineChars="150"/>
        <w:rPr>
          <w:rFonts w:ascii="宋体" w:hAnsi="宋体" w:cs="宋体"/>
          <w:color w:val="000000"/>
          <w:kern w:val="0"/>
          <w:sz w:val="24"/>
        </w:rPr>
      </w:pPr>
      <w:r>
        <w:rPr>
          <w:rFonts w:ascii="宋体" w:hAnsi="宋体" w:cs="宋体"/>
          <w:color w:val="000000"/>
          <w:kern w:val="0"/>
          <w:sz w:val="24"/>
        </w:rPr>
        <w:t>根据《湖南</w:t>
      </w:r>
      <w:r>
        <w:rPr>
          <w:rFonts w:hint="eastAsia" w:ascii="宋体" w:hAnsi="宋体" w:cs="宋体"/>
          <w:color w:val="000000"/>
          <w:kern w:val="0"/>
          <w:sz w:val="24"/>
        </w:rPr>
        <w:t>化工职业技术学院</w:t>
      </w:r>
      <w:r>
        <w:rPr>
          <w:rFonts w:ascii="宋体" w:hAnsi="宋体" w:cs="宋体"/>
          <w:color w:val="000000"/>
          <w:kern w:val="0"/>
          <w:sz w:val="24"/>
        </w:rPr>
        <w:t>招</w:t>
      </w:r>
      <w:r>
        <w:rPr>
          <w:rFonts w:hint="eastAsia" w:ascii="宋体" w:hAnsi="宋体" w:cs="宋体"/>
          <w:color w:val="000000"/>
          <w:kern w:val="0"/>
          <w:sz w:val="24"/>
        </w:rPr>
        <w:t>投</w:t>
      </w:r>
      <w:r>
        <w:rPr>
          <w:rFonts w:ascii="宋体" w:hAnsi="宋体" w:cs="宋体"/>
          <w:color w:val="000000"/>
          <w:kern w:val="0"/>
          <w:sz w:val="24"/>
        </w:rPr>
        <w:t>标管理办法》，</w:t>
      </w:r>
      <w:r>
        <w:rPr>
          <w:rFonts w:hint="eastAsia" w:ascii="宋体" w:hAnsi="宋体" w:cs="宋体"/>
          <w:color w:val="000000"/>
          <w:kern w:val="0"/>
          <w:sz w:val="24"/>
        </w:rPr>
        <w:t>我院</w:t>
      </w:r>
      <w:r>
        <w:rPr>
          <w:rFonts w:ascii="宋体" w:hAnsi="宋体" w:cs="宋体"/>
          <w:color w:val="000000"/>
          <w:kern w:val="0"/>
          <w:sz w:val="24"/>
        </w:rPr>
        <w:t>拟对</w:t>
      </w:r>
      <w:r>
        <w:rPr>
          <w:rFonts w:hint="eastAsia" w:cs="宋体"/>
          <w:color w:val="000000" w:themeColor="text1"/>
          <w:sz w:val="24"/>
          <w14:textFill>
            <w14:solidFill>
              <w14:schemeClr w14:val="tx1"/>
            </w14:solidFill>
          </w14:textFill>
        </w:rPr>
        <w:t>五金、日杂及木质材料</w:t>
      </w:r>
      <w:r>
        <w:rPr>
          <w:rFonts w:hint="eastAsia" w:ascii="宋体" w:hAnsi="宋体" w:cs="宋体"/>
          <w:color w:val="000000"/>
          <w:kern w:val="0"/>
          <w:sz w:val="24"/>
        </w:rPr>
        <w:t>供应商采购项目</w:t>
      </w:r>
      <w:r>
        <w:rPr>
          <w:rFonts w:ascii="宋体" w:hAnsi="宋体" w:cs="宋体"/>
          <w:color w:val="000000"/>
          <w:kern w:val="0"/>
          <w:sz w:val="24"/>
        </w:rPr>
        <w:t>进行招标，现将招投标工作事宜公告如下：</w:t>
      </w:r>
    </w:p>
    <w:p>
      <w:pPr>
        <w:widowControl/>
        <w:spacing w:before="124" w:beforeLines="40" w:after="124" w:afterLines="40" w:line="360" w:lineRule="auto"/>
        <w:ind w:firstLine="480" w:firstLineChars="200"/>
        <w:rPr>
          <w:rFonts w:ascii="宋体" w:hAnsi="宋体" w:cs="宋体"/>
          <w:color w:val="000000"/>
          <w:kern w:val="0"/>
          <w:sz w:val="24"/>
        </w:rPr>
      </w:pPr>
      <w:r>
        <w:rPr>
          <w:rFonts w:hint="eastAsia" w:ascii="宋体" w:hAnsi="宋体" w:cs="宋体"/>
          <w:color w:val="000000"/>
          <w:kern w:val="0"/>
          <w:sz w:val="24"/>
        </w:rPr>
        <w:t>一、</w:t>
      </w:r>
      <w:r>
        <w:rPr>
          <w:rFonts w:hint="eastAsia" w:ascii="宋体" w:hAnsi="宋体" w:cs="宋体"/>
          <w:b/>
          <w:bCs/>
          <w:color w:val="000000"/>
          <w:kern w:val="0"/>
          <w:sz w:val="24"/>
        </w:rPr>
        <w:t>采购项目基本概况</w:t>
      </w:r>
    </w:p>
    <w:p>
      <w:pPr>
        <w:widowControl/>
        <w:spacing w:before="124" w:beforeLines="40" w:after="124" w:afterLines="40" w:line="360" w:lineRule="auto"/>
        <w:ind w:firstLine="480" w:firstLineChars="200"/>
        <w:rPr>
          <w:sz w:val="24"/>
        </w:rPr>
      </w:pPr>
      <w:r>
        <w:rPr>
          <w:rFonts w:hint="eastAsia" w:ascii="宋体" w:hAnsi="宋体" w:cs="宋体"/>
          <w:color w:val="000000"/>
          <w:kern w:val="0"/>
          <w:sz w:val="24"/>
        </w:rPr>
        <w:t>1、</w:t>
      </w:r>
      <w:r>
        <w:rPr>
          <w:rFonts w:ascii="宋体" w:hAnsi="宋体" w:cs="宋体"/>
          <w:color w:val="000000"/>
          <w:kern w:val="0"/>
          <w:sz w:val="24"/>
        </w:rPr>
        <w:t>项目名称：</w:t>
      </w:r>
      <w:r>
        <w:rPr>
          <w:rFonts w:hint="eastAsia"/>
          <w:sz w:val="24"/>
        </w:rPr>
        <w:t xml:space="preserve"> </w:t>
      </w:r>
      <w:r>
        <w:rPr>
          <w:rFonts w:hint="eastAsia" w:cs="宋体"/>
          <w:color w:val="000000" w:themeColor="text1"/>
          <w:sz w:val="24"/>
          <w14:textFill>
            <w14:solidFill>
              <w14:schemeClr w14:val="tx1"/>
            </w14:solidFill>
          </w14:textFill>
        </w:rPr>
        <w:t>五金、日杂及木质材料</w:t>
      </w:r>
      <w:r>
        <w:rPr>
          <w:rFonts w:hint="eastAsia"/>
          <w:sz w:val="24"/>
        </w:rPr>
        <w:t>供应商采购项目</w:t>
      </w:r>
    </w:p>
    <w:p>
      <w:pPr>
        <w:widowControl/>
        <w:spacing w:before="124" w:beforeLines="40" w:after="124" w:afterLines="40" w:line="360" w:lineRule="auto"/>
        <w:ind w:firstLine="480" w:firstLineChars="200"/>
        <w:rPr>
          <w:rFonts w:ascii="宋体" w:hAnsi="宋体" w:cs="宋体"/>
          <w:color w:val="000000"/>
          <w:kern w:val="0"/>
          <w:sz w:val="24"/>
        </w:rPr>
      </w:pPr>
      <w:r>
        <w:rPr>
          <w:rFonts w:hint="eastAsia" w:ascii="宋体" w:hAnsi="宋体" w:cs="宋体"/>
          <w:color w:val="000000"/>
          <w:kern w:val="0"/>
          <w:sz w:val="24"/>
        </w:rPr>
        <w:t>2、采购方式：比选采购</w:t>
      </w:r>
    </w:p>
    <w:p>
      <w:pPr>
        <w:widowControl/>
        <w:spacing w:before="124" w:beforeLines="40" w:after="124" w:afterLines="40" w:line="360" w:lineRule="auto"/>
        <w:ind w:firstLine="480" w:firstLineChars="200"/>
        <w:rPr>
          <w:rFonts w:ascii="宋体" w:hAnsi="宋体" w:cs="宋体"/>
          <w:color w:val="000000"/>
          <w:kern w:val="0"/>
          <w:sz w:val="24"/>
        </w:rPr>
      </w:pPr>
      <w:bookmarkStart w:id="1" w:name="_Hlk144221827"/>
      <w:r>
        <w:rPr>
          <w:rFonts w:hint="eastAsia" w:ascii="宋体" w:hAnsi="宋体" w:cs="宋体"/>
          <w:color w:val="000000"/>
          <w:kern w:val="0"/>
          <w:sz w:val="24"/>
        </w:rPr>
        <w:t>3、采购预算：</w:t>
      </w:r>
      <w:r>
        <w:rPr>
          <w:rFonts w:hint="eastAsia" w:ascii="宋体" w:hAnsi="宋体" w:cs="宋体"/>
          <w:kern w:val="0"/>
          <w:sz w:val="24"/>
        </w:rPr>
        <w:t>15万元</w:t>
      </w:r>
      <w:bookmarkEnd w:id="1"/>
    </w:p>
    <w:p>
      <w:pPr>
        <w:pStyle w:val="81"/>
        <w:widowControl/>
        <w:numPr>
          <w:ilvl w:val="1"/>
          <w:numId w:val="1"/>
        </w:numPr>
        <w:spacing w:before="124" w:beforeLines="40" w:after="124" w:afterLines="40" w:line="360" w:lineRule="auto"/>
        <w:ind w:left="959" w:firstLineChars="0"/>
        <w:rPr>
          <w:rFonts w:ascii="宋体" w:hAnsi="宋体" w:cs="宋体"/>
          <w:color w:val="000000"/>
          <w:kern w:val="0"/>
          <w:sz w:val="24"/>
        </w:rPr>
      </w:pPr>
      <w:r>
        <w:rPr>
          <w:rFonts w:hint="eastAsia" w:ascii="宋体" w:hAnsi="宋体" w:cs="宋体"/>
          <w:b/>
          <w:bCs/>
          <w:color w:val="000000"/>
          <w:kern w:val="0"/>
          <w:sz w:val="24"/>
        </w:rPr>
        <w:t>资格条件</w:t>
      </w:r>
    </w:p>
    <w:p>
      <w:pPr>
        <w:widowControl/>
        <w:spacing w:line="360" w:lineRule="auto"/>
        <w:ind w:left="479"/>
        <w:rPr>
          <w:rFonts w:ascii="宋体" w:hAnsi="宋体" w:cs="宋体"/>
          <w:color w:val="000000"/>
          <w:kern w:val="0"/>
          <w:sz w:val="24"/>
        </w:rPr>
      </w:pPr>
      <w:bookmarkStart w:id="2" w:name="_Hlk160807244"/>
      <w:r>
        <w:rPr>
          <w:rFonts w:hint="eastAsia" w:ascii="宋体" w:hAnsi="宋体" w:cs="宋体"/>
          <w:color w:val="000000"/>
          <w:kern w:val="0"/>
          <w:sz w:val="24"/>
        </w:rPr>
        <w:t>（一）基本资格条件</w:t>
      </w:r>
    </w:p>
    <w:p>
      <w:pPr>
        <w:pStyle w:val="81"/>
        <w:widowControl/>
        <w:spacing w:line="360" w:lineRule="auto"/>
        <w:ind w:left="479" w:firstLine="0" w:firstLineChars="0"/>
        <w:jc w:val="left"/>
        <w:rPr>
          <w:rFonts w:ascii="宋体" w:hAnsi="宋体" w:cs="宋体"/>
          <w:color w:val="000000"/>
          <w:kern w:val="0"/>
          <w:sz w:val="24"/>
        </w:rPr>
      </w:pPr>
      <w:r>
        <w:rPr>
          <w:rFonts w:hint="eastAsia" w:ascii="宋体" w:hAnsi="宋体" w:cs="宋体"/>
          <w:color w:val="000000"/>
          <w:kern w:val="0"/>
          <w:sz w:val="24"/>
        </w:rPr>
        <w:t>1、具有独立法人资格，工商、税务、组织机构代码等证照齐全；</w:t>
      </w:r>
    </w:p>
    <w:p>
      <w:pPr>
        <w:pStyle w:val="81"/>
        <w:widowControl/>
        <w:numPr>
          <w:ilvl w:val="0"/>
          <w:numId w:val="2"/>
        </w:numPr>
        <w:spacing w:line="360" w:lineRule="auto"/>
        <w:ind w:left="839" w:firstLineChars="0"/>
        <w:jc w:val="left"/>
        <w:rPr>
          <w:rFonts w:ascii="宋体" w:hAnsi="宋体" w:cs="宋体"/>
          <w:color w:val="000000"/>
          <w:kern w:val="0"/>
          <w:sz w:val="24"/>
        </w:rPr>
      </w:pPr>
      <w:r>
        <w:rPr>
          <w:rFonts w:hint="eastAsia" w:ascii="宋体" w:hAnsi="宋体" w:cs="宋体"/>
          <w:color w:val="000000"/>
          <w:kern w:val="0"/>
          <w:sz w:val="24"/>
        </w:rPr>
        <w:t>具有良好的商业信誉和健全的财务会计制度；</w:t>
      </w:r>
    </w:p>
    <w:p>
      <w:pPr>
        <w:pStyle w:val="81"/>
        <w:widowControl/>
        <w:numPr>
          <w:ilvl w:val="0"/>
          <w:numId w:val="2"/>
        </w:numPr>
        <w:spacing w:line="360" w:lineRule="auto"/>
        <w:ind w:left="839" w:firstLineChars="0"/>
        <w:jc w:val="left"/>
        <w:rPr>
          <w:rFonts w:ascii="宋体" w:hAnsi="宋体" w:cs="宋体"/>
          <w:color w:val="000000"/>
          <w:kern w:val="0"/>
          <w:sz w:val="24"/>
        </w:rPr>
      </w:pPr>
      <w:r>
        <w:rPr>
          <w:rFonts w:hint="eastAsia" w:ascii="宋体" w:hAnsi="宋体" w:cs="宋体"/>
          <w:color w:val="000000"/>
          <w:kern w:val="0"/>
          <w:sz w:val="24"/>
        </w:rPr>
        <w:t>具有履行合同所必需的设备和专业技术服务能力；</w:t>
      </w:r>
    </w:p>
    <w:p>
      <w:pPr>
        <w:pStyle w:val="81"/>
        <w:widowControl/>
        <w:spacing w:line="360" w:lineRule="auto"/>
        <w:ind w:left="479" w:firstLine="0" w:firstLineChars="0"/>
        <w:jc w:val="left"/>
        <w:rPr>
          <w:rFonts w:ascii="宋体" w:hAnsi="宋体" w:cs="宋体"/>
          <w:color w:val="000000"/>
          <w:kern w:val="0"/>
          <w:sz w:val="24"/>
        </w:rPr>
      </w:pPr>
      <w:r>
        <w:rPr>
          <w:rFonts w:hint="eastAsia" w:ascii="宋体" w:hAnsi="宋体" w:cs="宋体"/>
          <w:color w:val="000000"/>
          <w:kern w:val="0"/>
          <w:sz w:val="24"/>
        </w:rPr>
        <w:t>4、有依法缴纳税收和社会保障资金的良好记录；</w:t>
      </w:r>
    </w:p>
    <w:p>
      <w:pPr>
        <w:pStyle w:val="81"/>
        <w:widowControl/>
        <w:spacing w:line="360" w:lineRule="auto"/>
        <w:ind w:left="479" w:firstLine="0" w:firstLineChars="0"/>
        <w:jc w:val="left"/>
        <w:rPr>
          <w:rFonts w:ascii="宋体" w:hAnsi="宋体" w:cs="宋体"/>
          <w:color w:val="000000"/>
          <w:kern w:val="0"/>
          <w:sz w:val="24"/>
        </w:rPr>
      </w:pPr>
      <w:r>
        <w:rPr>
          <w:rFonts w:hint="eastAsia" w:ascii="宋体" w:hAnsi="宋体" w:cs="宋体"/>
          <w:color w:val="000000"/>
          <w:kern w:val="0"/>
          <w:sz w:val="24"/>
        </w:rPr>
        <w:t>5、参加政府采购活动前三年内，在经营活动中没有重大违法记录；</w:t>
      </w:r>
    </w:p>
    <w:p>
      <w:pPr>
        <w:pStyle w:val="81"/>
        <w:widowControl/>
        <w:spacing w:line="360" w:lineRule="auto"/>
        <w:ind w:left="479" w:firstLine="0" w:firstLineChars="0"/>
        <w:jc w:val="left"/>
        <w:rPr>
          <w:rFonts w:ascii="宋体" w:hAnsi="宋体" w:cs="宋体"/>
          <w:color w:val="000000"/>
          <w:kern w:val="0"/>
          <w:sz w:val="24"/>
        </w:rPr>
      </w:pPr>
      <w:r>
        <w:rPr>
          <w:rFonts w:hint="eastAsia" w:ascii="宋体" w:hAnsi="宋体" w:cs="宋体"/>
          <w:color w:val="000000"/>
          <w:sz w:val="24"/>
        </w:rPr>
        <w:t>6、已入驻湖南省财政厅政府采购电子卖场证明。</w:t>
      </w:r>
    </w:p>
    <w:p>
      <w:pPr>
        <w:pStyle w:val="81"/>
        <w:widowControl/>
        <w:spacing w:line="360" w:lineRule="auto"/>
        <w:ind w:left="479" w:firstLine="0" w:firstLineChars="0"/>
        <w:jc w:val="left"/>
        <w:rPr>
          <w:rFonts w:ascii="宋体" w:hAnsi="宋体" w:cs="宋体"/>
          <w:color w:val="000000"/>
          <w:kern w:val="0"/>
          <w:sz w:val="24"/>
        </w:rPr>
      </w:pPr>
      <w:r>
        <w:rPr>
          <w:rFonts w:hint="eastAsia" w:ascii="宋体" w:hAnsi="宋体" w:cs="宋体"/>
          <w:color w:val="000000"/>
          <w:kern w:val="0"/>
          <w:sz w:val="24"/>
        </w:rPr>
        <w:t>7、法律、行政法规规定的其他条件。</w:t>
      </w:r>
    </w:p>
    <w:p>
      <w:pPr>
        <w:pStyle w:val="81"/>
        <w:widowControl/>
        <w:spacing w:line="360" w:lineRule="auto"/>
        <w:ind w:left="479" w:firstLine="0" w:firstLineChars="0"/>
        <w:jc w:val="left"/>
        <w:rPr>
          <w:rFonts w:ascii="宋体" w:hAnsi="宋体" w:cs="宋体"/>
          <w:color w:val="000000"/>
          <w:kern w:val="0"/>
          <w:sz w:val="24"/>
        </w:rPr>
      </w:pPr>
      <w:r>
        <w:rPr>
          <w:rFonts w:hint="eastAsia" w:ascii="宋体" w:hAnsi="宋体" w:cs="宋体"/>
          <w:color w:val="000000"/>
          <w:kern w:val="0"/>
          <w:sz w:val="24"/>
        </w:rPr>
        <w:t>8、本项目不接受联合体参与投标。</w:t>
      </w:r>
    </w:p>
    <w:bookmarkEnd w:id="2"/>
    <w:p>
      <w:pPr>
        <w:widowControl/>
        <w:spacing w:before="156" w:beforeLines="50" w:after="156" w:afterLines="50" w:line="440" w:lineRule="exact"/>
        <w:ind w:firstLine="482" w:firstLineChars="200"/>
        <w:jc w:val="left"/>
        <w:rPr>
          <w:rFonts w:ascii="宋体" w:hAnsi="宋体" w:cs="宋体"/>
          <w:b/>
          <w:bCs/>
          <w:color w:val="000000"/>
          <w:kern w:val="0"/>
          <w:sz w:val="24"/>
        </w:rPr>
      </w:pPr>
      <w:r>
        <w:rPr>
          <w:rFonts w:hint="eastAsia" w:ascii="宋体" w:hAnsi="宋体" w:cs="宋体"/>
          <w:b/>
          <w:bCs/>
          <w:color w:val="000000"/>
          <w:kern w:val="0"/>
          <w:sz w:val="24"/>
        </w:rPr>
        <w:t>三、报名及获取比选文件的期限和方式</w:t>
      </w:r>
    </w:p>
    <w:p>
      <w:pPr>
        <w:widowControl/>
        <w:spacing w:before="124" w:beforeLines="40" w:after="124" w:afterLines="40"/>
        <w:ind w:firstLine="480" w:firstLineChars="200"/>
        <w:rPr>
          <w:rFonts w:ascii="宋体" w:hAnsi="宋体" w:cs="宋体"/>
          <w:color w:val="000000"/>
          <w:kern w:val="0"/>
          <w:sz w:val="24"/>
          <w:highlight w:val="none"/>
        </w:rPr>
      </w:pPr>
      <w:r>
        <w:rPr>
          <w:rFonts w:hint="eastAsia" w:ascii="宋体" w:hAnsi="宋体" w:cs="宋体"/>
          <w:color w:val="000000"/>
          <w:kern w:val="0"/>
          <w:sz w:val="24"/>
        </w:rPr>
        <w:t>1、</w:t>
      </w:r>
      <w:bookmarkStart w:id="3" w:name="_Hlk165294075"/>
      <w:r>
        <w:rPr>
          <w:rFonts w:hint="eastAsia" w:ascii="宋体" w:hAnsi="宋体" w:cs="宋体"/>
          <w:color w:val="000000"/>
          <w:kern w:val="0"/>
          <w:sz w:val="24"/>
        </w:rPr>
        <w:t>报名时间</w:t>
      </w:r>
      <w:r>
        <w:rPr>
          <w:rFonts w:hint="eastAsia" w:ascii="宋体" w:hAnsi="宋体" w:cs="宋体"/>
          <w:color w:val="000000"/>
          <w:kern w:val="0"/>
          <w:sz w:val="24"/>
          <w:highlight w:val="none"/>
        </w:rPr>
        <w:t>：2024年</w:t>
      </w:r>
      <w:r>
        <w:rPr>
          <w:rFonts w:hint="eastAsia" w:ascii="宋体" w:hAnsi="宋体" w:cs="宋体"/>
          <w:kern w:val="0"/>
          <w:sz w:val="24"/>
          <w:highlight w:val="none"/>
        </w:rPr>
        <w:t>6月</w:t>
      </w:r>
      <w:r>
        <w:rPr>
          <w:rFonts w:hint="eastAsia" w:ascii="宋体" w:hAnsi="宋体" w:cs="宋体"/>
          <w:kern w:val="0"/>
          <w:sz w:val="24"/>
          <w:highlight w:val="none"/>
          <w:lang w:val="en-US" w:eastAsia="zh-CN"/>
        </w:rPr>
        <w:t>27</w:t>
      </w:r>
      <w:r>
        <w:rPr>
          <w:rFonts w:hint="eastAsia" w:ascii="宋体" w:hAnsi="宋体" w:cs="宋体"/>
          <w:kern w:val="0"/>
          <w:sz w:val="24"/>
          <w:highlight w:val="none"/>
        </w:rPr>
        <w:t>日至2024年</w:t>
      </w:r>
      <w:r>
        <w:rPr>
          <w:rFonts w:hint="eastAsia" w:ascii="宋体" w:hAnsi="宋体" w:cs="宋体"/>
          <w:kern w:val="0"/>
          <w:sz w:val="24"/>
          <w:highlight w:val="none"/>
          <w:lang w:val="en-US" w:eastAsia="zh-CN"/>
        </w:rPr>
        <w:t>7</w:t>
      </w:r>
      <w:r>
        <w:rPr>
          <w:rFonts w:hint="eastAsia" w:ascii="宋体" w:hAnsi="宋体" w:cs="宋体"/>
          <w:kern w:val="0"/>
          <w:sz w:val="24"/>
          <w:highlight w:val="none"/>
        </w:rPr>
        <w:t>月</w:t>
      </w:r>
      <w:r>
        <w:rPr>
          <w:rFonts w:hint="eastAsia" w:ascii="宋体" w:hAnsi="宋体" w:cs="宋体"/>
          <w:kern w:val="0"/>
          <w:sz w:val="24"/>
          <w:highlight w:val="none"/>
          <w:lang w:val="en-US" w:eastAsia="zh-CN"/>
        </w:rPr>
        <w:t>3</w:t>
      </w:r>
      <w:r>
        <w:rPr>
          <w:rFonts w:hint="eastAsia" w:ascii="宋体" w:hAnsi="宋体" w:cs="宋体"/>
          <w:kern w:val="0"/>
          <w:sz w:val="24"/>
          <w:highlight w:val="none"/>
        </w:rPr>
        <w:t>日17：00止（工作日）</w:t>
      </w:r>
      <w:r>
        <w:rPr>
          <w:rFonts w:hint="eastAsia" w:ascii="宋体" w:hAnsi="宋体" w:cs="宋体"/>
          <w:color w:val="000000"/>
          <w:kern w:val="0"/>
          <w:sz w:val="24"/>
          <w:highlight w:val="none"/>
        </w:rPr>
        <w:t>；</w:t>
      </w:r>
      <w:bookmarkEnd w:id="3"/>
    </w:p>
    <w:p>
      <w:pPr>
        <w:widowControl/>
        <w:spacing w:line="440" w:lineRule="exact"/>
        <w:ind w:left="479" w:leftChars="228"/>
        <w:jc w:val="left"/>
        <w:rPr>
          <w:rFonts w:ascii="宋体" w:hAnsi="宋体" w:cs="宋体"/>
          <w:color w:val="000000"/>
          <w:kern w:val="0"/>
          <w:sz w:val="24"/>
        </w:rPr>
      </w:pPr>
      <w:r>
        <w:rPr>
          <w:rFonts w:hint="eastAsia" w:ascii="宋体" w:hAnsi="宋体" w:cs="宋体"/>
          <w:color w:val="000000"/>
          <w:kern w:val="0"/>
          <w:sz w:val="24"/>
        </w:rPr>
        <w:t>2、报名方式：供应商通过电子邮件将参与投标项目信息（参与项目、投标单位名称、项目负责人、联系电话）发到指定邮箱</w:t>
      </w:r>
      <w:r>
        <w:rPr>
          <w:rFonts w:hint="eastAsia" w:ascii="宋体" w:hAnsi="宋体" w:cs="宋体"/>
          <w:kern w:val="0"/>
          <w:sz w:val="24"/>
        </w:rPr>
        <w:t>（</w:t>
      </w:r>
      <w:r>
        <w:fldChar w:fldCharType="begin"/>
      </w:r>
      <w:r>
        <w:instrText xml:space="preserve"> HYPERLINK "mailto:zcglccg@126.com" </w:instrText>
      </w:r>
      <w:r>
        <w:fldChar w:fldCharType="separate"/>
      </w:r>
      <w:r>
        <w:rPr>
          <w:rStyle w:val="25"/>
          <w:rFonts w:hint="eastAsia" w:ascii="宋体" w:hAnsi="宋体" w:cs="宋体"/>
          <w:color w:val="auto"/>
          <w:kern w:val="0"/>
          <w:sz w:val="24"/>
        </w:rPr>
        <w:t>zcglccg@126.com</w:t>
      </w:r>
      <w:r>
        <w:rPr>
          <w:rStyle w:val="25"/>
          <w:rFonts w:hint="eastAsia" w:ascii="宋体" w:hAnsi="宋体" w:cs="宋体"/>
          <w:color w:val="auto"/>
          <w:kern w:val="0"/>
          <w:sz w:val="24"/>
        </w:rPr>
        <w:fldChar w:fldCharType="end"/>
      </w:r>
      <w:r>
        <w:rPr>
          <w:rFonts w:hint="eastAsia" w:ascii="宋体" w:hAnsi="宋体" w:cs="宋体"/>
          <w:kern w:val="0"/>
          <w:sz w:val="24"/>
        </w:rPr>
        <w:t>）</w:t>
      </w:r>
      <w:r>
        <w:rPr>
          <w:rFonts w:hint="eastAsia" w:ascii="宋体" w:hAnsi="宋体" w:cs="宋体"/>
          <w:color w:val="000000"/>
          <w:kern w:val="0"/>
          <w:sz w:val="24"/>
        </w:rPr>
        <w:t>；</w:t>
      </w:r>
    </w:p>
    <w:p>
      <w:pPr>
        <w:widowControl/>
        <w:spacing w:line="440" w:lineRule="exact"/>
        <w:ind w:left="479" w:leftChars="228"/>
        <w:jc w:val="left"/>
        <w:rPr>
          <w:rFonts w:ascii="宋体" w:hAnsi="宋体" w:cs="宋体"/>
          <w:color w:val="000000"/>
          <w:kern w:val="0"/>
          <w:sz w:val="24"/>
        </w:rPr>
      </w:pPr>
      <w:r>
        <w:rPr>
          <w:rFonts w:ascii="宋体" w:hAnsi="宋体" w:cs="宋体"/>
          <w:color w:val="000000"/>
          <w:kern w:val="0"/>
          <w:sz w:val="24"/>
        </w:rPr>
        <w:t>3</w:t>
      </w:r>
      <w:r>
        <w:rPr>
          <w:rFonts w:hint="eastAsia" w:ascii="宋体" w:hAnsi="宋体" w:cs="宋体"/>
          <w:color w:val="000000"/>
          <w:kern w:val="0"/>
          <w:sz w:val="24"/>
        </w:rPr>
        <w:t>、比选文件获取方式：供应商自行下载获取招标文件；</w:t>
      </w:r>
    </w:p>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四、开标信息</w:t>
      </w:r>
    </w:p>
    <w:p>
      <w:pPr>
        <w:widowControl/>
        <w:spacing w:before="124" w:beforeLines="40" w:after="124" w:afterLines="40"/>
        <w:ind w:firstLine="480" w:firstLineChars="200"/>
        <w:rPr>
          <w:rFonts w:ascii="宋体" w:hAnsi="宋体" w:cs="宋体"/>
          <w:kern w:val="0"/>
          <w:sz w:val="24"/>
        </w:rPr>
      </w:pPr>
      <w:bookmarkStart w:id="4" w:name="_Hlk165294099"/>
      <w:r>
        <w:rPr>
          <w:rFonts w:hint="eastAsia" w:ascii="宋体" w:hAnsi="宋体" w:cs="宋体"/>
          <w:color w:val="000000"/>
          <w:kern w:val="0"/>
          <w:sz w:val="24"/>
        </w:rPr>
        <w:t>1、响应文件递交开始时间：2024年</w:t>
      </w:r>
      <w:r>
        <w:rPr>
          <w:rFonts w:hint="eastAsia" w:ascii="宋体" w:hAnsi="宋体" w:cs="宋体"/>
          <w:kern w:val="0"/>
          <w:sz w:val="24"/>
          <w:lang w:val="en-US" w:eastAsia="zh-CN"/>
        </w:rPr>
        <w:t>7</w:t>
      </w:r>
      <w:r>
        <w:rPr>
          <w:rFonts w:hint="eastAsia" w:ascii="宋体" w:hAnsi="宋体" w:cs="宋体"/>
          <w:kern w:val="0"/>
          <w:sz w:val="24"/>
        </w:rPr>
        <w:t>月</w:t>
      </w:r>
      <w:r>
        <w:rPr>
          <w:rFonts w:hint="eastAsia" w:ascii="宋体" w:hAnsi="宋体" w:cs="宋体"/>
          <w:kern w:val="0"/>
          <w:sz w:val="24"/>
          <w:lang w:val="en-US" w:eastAsia="zh-CN"/>
        </w:rPr>
        <w:t>4</w:t>
      </w:r>
      <w:r>
        <w:rPr>
          <w:rFonts w:hint="eastAsia" w:ascii="宋体" w:hAnsi="宋体" w:cs="宋体"/>
          <w:kern w:val="0"/>
          <w:sz w:val="24"/>
        </w:rPr>
        <w:t>日北京时间9:</w:t>
      </w:r>
      <w:r>
        <w:rPr>
          <w:rFonts w:hint="eastAsia" w:ascii="宋体" w:hAnsi="宋体" w:cs="宋体"/>
          <w:kern w:val="0"/>
          <w:sz w:val="24"/>
          <w:lang w:val="en-US" w:eastAsia="zh-CN"/>
        </w:rPr>
        <w:t>3</w:t>
      </w:r>
      <w:r>
        <w:rPr>
          <w:rFonts w:hint="eastAsia" w:ascii="宋体" w:hAnsi="宋体" w:cs="宋体"/>
          <w:kern w:val="0"/>
          <w:sz w:val="24"/>
        </w:rPr>
        <w:t>0；</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kern w:val="0"/>
          <w:sz w:val="24"/>
        </w:rPr>
        <w:t>2、响应文件递交截止时间（开标时间）：2024年</w:t>
      </w:r>
      <w:r>
        <w:rPr>
          <w:rFonts w:hint="eastAsia" w:ascii="宋体" w:hAnsi="宋体" w:cs="宋体"/>
          <w:kern w:val="0"/>
          <w:sz w:val="24"/>
          <w:lang w:val="en-US" w:eastAsia="zh-CN"/>
        </w:rPr>
        <w:t>7</w:t>
      </w:r>
      <w:r>
        <w:rPr>
          <w:rFonts w:hint="eastAsia" w:ascii="宋体" w:hAnsi="宋体" w:cs="宋体"/>
          <w:kern w:val="0"/>
          <w:sz w:val="24"/>
        </w:rPr>
        <w:t>月</w:t>
      </w:r>
      <w:r>
        <w:rPr>
          <w:rFonts w:hint="eastAsia" w:ascii="宋体" w:hAnsi="宋体" w:cs="宋体"/>
          <w:kern w:val="0"/>
          <w:sz w:val="24"/>
          <w:lang w:val="en-US" w:eastAsia="zh-CN"/>
        </w:rPr>
        <w:t>4</w:t>
      </w:r>
      <w:r>
        <w:rPr>
          <w:rFonts w:hint="eastAsia" w:ascii="宋体" w:hAnsi="宋体" w:cs="宋体"/>
          <w:kern w:val="0"/>
          <w:sz w:val="24"/>
        </w:rPr>
        <w:t>日</w:t>
      </w:r>
      <w:r>
        <w:rPr>
          <w:rFonts w:hint="eastAsia" w:ascii="宋体" w:hAnsi="宋体" w:cs="宋体"/>
          <w:color w:val="000000"/>
          <w:kern w:val="0"/>
          <w:sz w:val="24"/>
        </w:rPr>
        <w:t>北京时间9:</w:t>
      </w:r>
      <w:r>
        <w:rPr>
          <w:rFonts w:hint="eastAsia" w:ascii="宋体" w:hAnsi="宋体" w:cs="宋体"/>
          <w:color w:val="000000"/>
          <w:kern w:val="0"/>
          <w:sz w:val="24"/>
          <w:lang w:val="en-US" w:eastAsia="zh-CN"/>
        </w:rPr>
        <w:t>3</w:t>
      </w:r>
      <w:r>
        <w:rPr>
          <w:rFonts w:hint="eastAsia" w:ascii="宋体" w:hAnsi="宋体" w:cs="宋体"/>
          <w:color w:val="000000"/>
          <w:kern w:val="0"/>
          <w:sz w:val="24"/>
        </w:rPr>
        <w:t>0；</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3、开标地点：湖南化工职业技术学院行政楼110室。</w:t>
      </w:r>
    </w:p>
    <w:bookmarkEnd w:id="4"/>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五、发布公告的媒介</w:t>
      </w:r>
    </w:p>
    <w:p>
      <w:pPr>
        <w:widowControl/>
        <w:spacing w:line="440" w:lineRule="exact"/>
        <w:ind w:firstLine="480" w:firstLineChars="200"/>
        <w:rPr>
          <w:rFonts w:ascii="宋体" w:hAnsi="宋体" w:cs="宋体"/>
          <w:color w:val="000000"/>
          <w:kern w:val="0"/>
          <w:sz w:val="24"/>
        </w:rPr>
      </w:pPr>
      <w:r>
        <w:rPr>
          <w:rFonts w:hint="eastAsia" w:ascii="宋体" w:hAnsi="宋体" w:cs="宋体"/>
          <w:color w:val="000000"/>
          <w:kern w:val="0"/>
          <w:sz w:val="24"/>
        </w:rPr>
        <w:t>本次比选采购邀请公告在湖南化工职业技术学院官网通知公告（http://www.hnhgzy.com）上发布。</w:t>
      </w:r>
    </w:p>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六、联系方式</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采购人：湖南化工职业技术学院</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联系人：赵老师</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电 话：0731-22537501</w:t>
      </w:r>
    </w:p>
    <w:p>
      <w:pPr>
        <w:widowControl/>
        <w:spacing w:line="44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 xml:space="preserve">地  址：湖南省株洲市云龙区职教城                           </w:t>
      </w:r>
    </w:p>
    <w:p>
      <w:pPr>
        <w:pStyle w:val="5"/>
        <w:ind w:firstLine="480"/>
        <w:rPr>
          <w:color w:val="000000"/>
        </w:rPr>
      </w:pPr>
    </w:p>
    <w:p>
      <w:pPr>
        <w:pStyle w:val="6"/>
        <w:rPr>
          <w:color w:val="000000"/>
        </w:rPr>
      </w:pPr>
    </w:p>
    <w:p>
      <w:pPr>
        <w:pStyle w:val="6"/>
        <w:rPr>
          <w:color w:val="000000"/>
        </w:rPr>
      </w:pPr>
    </w:p>
    <w:p>
      <w:pPr>
        <w:widowControl/>
        <w:spacing w:line="440" w:lineRule="exact"/>
        <w:jc w:val="center"/>
        <w:rPr>
          <w:rFonts w:ascii="宋体" w:hAnsi="宋体" w:cs="宋体"/>
          <w:color w:val="000000"/>
          <w:kern w:val="0"/>
          <w:sz w:val="24"/>
        </w:rPr>
      </w:pPr>
      <w:r>
        <w:rPr>
          <w:rFonts w:hint="eastAsia" w:ascii="宋体" w:hAnsi="宋体" w:cs="宋体"/>
          <w:color w:val="000000"/>
          <w:kern w:val="0"/>
          <w:sz w:val="24"/>
        </w:rPr>
        <w:t xml:space="preserve">                 </w:t>
      </w:r>
      <w:r>
        <w:rPr>
          <w:rFonts w:ascii="宋体" w:hAnsi="宋体" w:cs="宋体"/>
          <w:color w:val="000000"/>
          <w:kern w:val="0"/>
          <w:sz w:val="24"/>
        </w:rPr>
        <w:t xml:space="preserve">       </w:t>
      </w:r>
      <w:r>
        <w:rPr>
          <w:rFonts w:hint="eastAsia" w:ascii="宋体" w:hAnsi="宋体" w:cs="宋体"/>
          <w:color w:val="000000"/>
          <w:kern w:val="0"/>
          <w:sz w:val="24"/>
        </w:rPr>
        <w:t xml:space="preserve">   </w:t>
      </w:r>
    </w:p>
    <w:p>
      <w:pPr>
        <w:widowControl/>
        <w:spacing w:line="440" w:lineRule="exact"/>
        <w:ind w:firstLine="5280" w:firstLineChars="2200"/>
        <w:jc w:val="left"/>
        <w:rPr>
          <w:rFonts w:ascii="宋体" w:hAnsi="宋体" w:cs="宋体"/>
          <w:kern w:val="0"/>
          <w:sz w:val="24"/>
        </w:rPr>
      </w:pPr>
      <w:r>
        <w:rPr>
          <w:rFonts w:ascii="宋体" w:hAnsi="宋体" w:cs="宋体"/>
          <w:kern w:val="0"/>
          <w:sz w:val="24"/>
        </w:rPr>
        <w:br w:type="page"/>
      </w:r>
    </w:p>
    <w:p>
      <w:pPr>
        <w:widowControl/>
        <w:spacing w:before="124" w:beforeLines="40" w:after="124" w:afterLines="40" w:line="375" w:lineRule="atLeast"/>
        <w:jc w:val="center"/>
        <w:rPr>
          <w:rFonts w:ascii="微软雅黑" w:hAnsi="微软雅黑" w:eastAsia="微软雅黑" w:cs="微软雅黑"/>
          <w:b/>
          <w:color w:val="000000"/>
          <w:kern w:val="0"/>
          <w:sz w:val="30"/>
          <w:szCs w:val="30"/>
        </w:rPr>
      </w:pPr>
      <w:r>
        <w:rPr>
          <w:rFonts w:hint="eastAsia" w:ascii="微软雅黑" w:hAnsi="微软雅黑" w:eastAsia="微软雅黑" w:cs="微软雅黑"/>
          <w:b/>
          <w:color w:val="000000"/>
          <w:kern w:val="0"/>
          <w:sz w:val="30"/>
          <w:szCs w:val="30"/>
        </w:rPr>
        <w:t>比选须知</w:t>
      </w:r>
    </w:p>
    <w:p>
      <w:pPr>
        <w:widowControl/>
        <w:spacing w:after="156" w:afterLines="50" w:line="360" w:lineRule="auto"/>
        <w:ind w:firstLine="482" w:firstLineChars="200"/>
        <w:jc w:val="left"/>
        <w:rPr>
          <w:rFonts w:ascii="宋体" w:hAnsi="宋体" w:cs="宋体"/>
          <w:color w:val="000000"/>
          <w:kern w:val="0"/>
          <w:sz w:val="24"/>
        </w:rPr>
      </w:pPr>
      <w:r>
        <w:rPr>
          <w:rFonts w:hint="eastAsia" w:ascii="宋体" w:hAnsi="宋体" w:cs="宋体"/>
          <w:b/>
          <w:color w:val="000000"/>
          <w:kern w:val="0"/>
          <w:sz w:val="24"/>
        </w:rPr>
        <w:t>一、说明</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1、适用范围：本招标书仅适用于本次招标。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2、合格投标人：提交</w:t>
      </w:r>
      <w:r>
        <w:rPr>
          <w:rFonts w:hint="eastAsia" w:ascii="宋体" w:hAnsi="宋体" w:cs="宋体"/>
          <w:b/>
          <w:bCs/>
          <w:color w:val="000000"/>
          <w:kern w:val="0"/>
          <w:sz w:val="24"/>
        </w:rPr>
        <w:t>附件3</w:t>
      </w:r>
      <w:r>
        <w:rPr>
          <w:rFonts w:hint="eastAsia" w:ascii="宋体" w:hAnsi="宋体" w:cs="宋体"/>
          <w:color w:val="000000"/>
          <w:kern w:val="0"/>
          <w:sz w:val="24"/>
        </w:rPr>
        <w:t>所列各项条件的被邀请单位为合格投标人。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3、招标人：系指湖南化工职业技术学院。</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4、投标人：系指向招标人提交投标文件的合格投标人。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5、服务：系指招标文件规定卖方须承担的相关工作。</w:t>
      </w:r>
    </w:p>
    <w:p>
      <w:pPr>
        <w:widowControl/>
        <w:spacing w:before="156" w:beforeLines="50" w:after="156" w:afterLines="50" w:line="360" w:lineRule="auto"/>
        <w:ind w:firstLine="482" w:firstLineChars="200"/>
        <w:jc w:val="left"/>
        <w:rPr>
          <w:rFonts w:ascii="宋体" w:hAnsi="宋体" w:cs="宋体"/>
          <w:color w:val="000000"/>
          <w:kern w:val="0"/>
          <w:sz w:val="24"/>
        </w:rPr>
      </w:pPr>
      <w:r>
        <w:rPr>
          <w:rFonts w:hint="eastAsia" w:ascii="宋体" w:hAnsi="宋体" w:cs="宋体"/>
          <w:b/>
          <w:color w:val="000000"/>
          <w:kern w:val="0"/>
          <w:sz w:val="24"/>
        </w:rPr>
        <w:t>二、比选文件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1、投标比选文件的编制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投标人应仔细阅读招标文件所有内容，并按招标文件的规定及附件要求的内容和格式，提交完整的投标文件。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投标人应向甲方提供约定的服务的所有内容并保证服务质量。</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2、比选文件的组成</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highlight w:val="green"/>
        </w:rPr>
        <w:t>投标人递交的比选文件按照以下格式进行编制：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（1）投标文件目录及</w:t>
      </w:r>
      <w:r>
        <w:rPr>
          <w:rFonts w:hint="eastAsia" w:ascii="宋体" w:hAnsi="宋体" w:cs="宋体"/>
          <w:color w:val="000000"/>
          <w:kern w:val="0"/>
          <w:sz w:val="24"/>
          <w:highlight w:val="green"/>
        </w:rPr>
        <w:t>评分标准佐证材料索引；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（2）投标书</w:t>
      </w:r>
    </w:p>
    <w:p>
      <w:pPr>
        <w:pStyle w:val="8"/>
        <w:spacing w:after="0" w:line="360" w:lineRule="auto"/>
        <w:ind w:firstLine="480" w:firstLineChars="200"/>
        <w:jc w:val="left"/>
      </w:pPr>
      <w:r>
        <w:rPr>
          <w:rFonts w:hint="eastAsia" w:ascii="宋体" w:hAnsi="宋体" w:cs="宋体"/>
          <w:color w:val="000000"/>
          <w:kern w:val="0"/>
          <w:sz w:val="24"/>
        </w:rPr>
        <w:t>（3）开标一览表</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（4）服务方案</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（5）服务承诺书</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（6）供应商资质证明材料</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（7）技术参数响应及实施方案</w:t>
      </w:r>
    </w:p>
    <w:p>
      <w:pPr>
        <w:pStyle w:val="18"/>
        <w:tabs>
          <w:tab w:val="left" w:pos="3420"/>
        </w:tabs>
        <w:spacing w:after="0" w:line="360" w:lineRule="auto"/>
        <w:ind w:left="0" w:leftChars="0" w:firstLine="480"/>
        <w:jc w:val="left"/>
        <w:rPr>
          <w:rFonts w:ascii="宋体" w:hAnsi="宋体" w:cs="宋体"/>
          <w:kern w:val="0"/>
          <w:sz w:val="24"/>
        </w:rPr>
      </w:pPr>
      <w:r>
        <w:rPr>
          <w:rFonts w:hint="eastAsia" w:ascii="宋体" w:hAnsi="宋体" w:cs="宋体"/>
          <w:kern w:val="0"/>
          <w:sz w:val="24"/>
        </w:rPr>
        <w:t>（8）类似业绩</w:t>
      </w:r>
    </w:p>
    <w:p>
      <w:pPr>
        <w:spacing w:line="360" w:lineRule="auto"/>
        <w:ind w:firstLine="480" w:firstLineChars="200"/>
        <w:jc w:val="left"/>
        <w:rPr>
          <w:color w:val="000000"/>
        </w:rPr>
      </w:pPr>
      <w:r>
        <w:rPr>
          <w:rFonts w:hint="eastAsia" w:ascii="宋体" w:hAnsi="宋体" w:cs="宋体"/>
          <w:color w:val="000000"/>
          <w:kern w:val="0"/>
          <w:sz w:val="24"/>
        </w:rPr>
        <w:t>（9）供应商认为需提供的其它资料</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投标文件应对招标文件规定的要求和条件作出实质性响应，如有漏项、重大偏离或显著保留，即视为废标；所有不完整的投标文件将被拒绝。</w:t>
      </w:r>
    </w:p>
    <w:p>
      <w:pPr>
        <w:widowControl/>
        <w:spacing w:before="156" w:beforeLines="50" w:after="156" w:afterLines="50"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三、投标</w:t>
      </w:r>
    </w:p>
    <w:p>
      <w:pPr>
        <w:widowControl/>
        <w:spacing w:before="156" w:beforeLines="50" w:after="156" w:afterLines="50"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全部投标文件按《投标须知》中“投标文件的组成”的顺序成册，投标文件必须封装并加盖公章，并在封面上写明投标人名称。招标人不接受电报、电话、传真和电子邮件投标，投标书递交后不得修改，也不得撤标。</w:t>
      </w:r>
      <w:r>
        <w:rPr>
          <w:rFonts w:hint="eastAsia" w:ascii="宋体" w:hAnsi="宋体" w:cs="宋体"/>
          <w:b/>
          <w:bCs/>
          <w:color w:val="000000"/>
          <w:kern w:val="0"/>
          <w:sz w:val="24"/>
        </w:rPr>
        <w:t>要求投标方报名截止前将参与投标项目信息（参与项目、投标单位名称、项目负责人、联系电话）发到指定邮箱（</w:t>
      </w:r>
      <w:r>
        <w:rPr>
          <w:rFonts w:hint="eastAsia" w:ascii="宋体" w:hAnsi="宋体" w:cs="宋体"/>
          <w:color w:val="000000"/>
          <w:kern w:val="0"/>
          <w:sz w:val="24"/>
        </w:rPr>
        <w:t>zcglccg@126.com</w:t>
      </w:r>
      <w:r>
        <w:rPr>
          <w:rFonts w:hint="eastAsia" w:ascii="宋体" w:hAnsi="宋体" w:cs="宋体"/>
          <w:b/>
          <w:bCs/>
          <w:color w:val="000000"/>
          <w:kern w:val="0"/>
          <w:sz w:val="24"/>
        </w:rPr>
        <w:t>），不接受现场报名。</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四、开标和评标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将按《比选公告》中规定的时间和地点组织采购比选。采购比选将由我院招投标小组具体组织实施。</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评标的基础是</w:t>
      </w:r>
      <w:r>
        <w:rPr>
          <w:rFonts w:hint="eastAsia" w:ascii="宋体" w:hAnsi="宋体" w:cs="宋体"/>
          <w:b/>
          <w:bCs/>
          <w:color w:val="000000"/>
          <w:kern w:val="0"/>
          <w:sz w:val="24"/>
        </w:rPr>
        <w:t>投标人的报价、服务方案、业绩、服务和承诺</w:t>
      </w:r>
      <w:r>
        <w:rPr>
          <w:rFonts w:hint="eastAsia" w:ascii="宋体" w:hAnsi="宋体" w:cs="宋体"/>
          <w:color w:val="000000"/>
          <w:kern w:val="0"/>
          <w:sz w:val="24"/>
        </w:rPr>
        <w:t>等。</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对投标文件中疑义或表达不清的内容，招标人有权要求投标人予以澄清。</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合同将授予符合招标文件及综合得分最高的投标人。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招标人有权在签订合同时调整采购数量。</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五、中标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1、中标结果公布</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（1）若评标顺利，将当场公布评标结果。</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（2）若不能立即评出结果，将在1天内通知中标单位。</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2、中标人出现下列行为之一者，其中标资格将被取消：</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（1）中标人与其他投标人串通进行投标的；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（2）中标人不能按中标要求签订合同的；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（3）中标人有其它损害招标人、采购人利益或社会公共利益的；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（4）中标人在规定时间内不与招标人签订合同的；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（5）中标人转让中标项目的；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（6）中标人的中标资格被取消后，可按中标候选单位的排名顺序依次递补或重新招标。</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六、签订合同</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双方共同签订《</w:t>
      </w:r>
      <w:bookmarkStart w:id="5" w:name="_Hlk160810094"/>
      <w:r>
        <w:rPr>
          <w:rFonts w:hint="eastAsia" w:ascii="宋体" w:hAnsi="宋体" w:cs="宋体"/>
          <w:color w:val="000000"/>
          <w:kern w:val="0"/>
          <w:sz w:val="24"/>
        </w:rPr>
        <w:t>湖南化工职业技术学院</w:t>
      </w:r>
      <w:bookmarkEnd w:id="5"/>
      <w:r>
        <w:rPr>
          <w:rFonts w:hint="eastAsia" w:cs="宋体"/>
          <w:color w:val="000000" w:themeColor="text1"/>
          <w:sz w:val="24"/>
          <w14:textFill>
            <w14:solidFill>
              <w14:schemeClr w14:val="tx1"/>
            </w14:solidFill>
          </w14:textFill>
        </w:rPr>
        <w:t>五金、日杂及木质材料</w:t>
      </w:r>
      <w:r>
        <w:rPr>
          <w:rFonts w:hint="eastAsia" w:ascii="宋体" w:hAnsi="宋体" w:cs="宋体"/>
          <w:color w:val="000000"/>
          <w:kern w:val="0"/>
          <w:sz w:val="24"/>
        </w:rPr>
        <w:t>供应商采购项目合同书》。</w:t>
      </w:r>
    </w:p>
    <w:p>
      <w:pPr>
        <w:spacing w:line="360" w:lineRule="auto"/>
        <w:ind w:firstLine="482" w:firstLineChars="200"/>
        <w:rPr>
          <w:rFonts w:ascii="宋体" w:hAnsi="宋体" w:cs="宋体"/>
          <w:b/>
          <w:bCs/>
          <w:color w:val="000000"/>
          <w:kern w:val="0"/>
          <w:sz w:val="24"/>
        </w:rPr>
      </w:pPr>
      <w:r>
        <w:rPr>
          <w:rFonts w:hint="eastAsia" w:ascii="宋体" w:hAnsi="宋体" w:cs="宋体"/>
          <w:b/>
          <w:bCs/>
          <w:color w:val="000000"/>
          <w:sz w:val="24"/>
        </w:rPr>
        <w:t>七、供应商资格要求</w:t>
      </w:r>
      <w:r>
        <w:rPr>
          <w:rFonts w:hint="eastAsia" w:ascii="宋体" w:hAnsi="宋体" w:cs="宋体"/>
          <w:b/>
          <w:bCs/>
          <w:color w:val="000000"/>
          <w:kern w:val="0"/>
          <w:sz w:val="24"/>
        </w:rPr>
        <w:t xml:space="preserve"> </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（一）基本资格条件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1、具有独立法人资格，工商、税务、组织机构代码等证照齐全；</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2、具有良好的商业信誉和健全的财务会计制度；</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3、具有履行合同所必需的设备和专业技术服务能力；</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4、有依法缴纳税收和社会保障资金的良好记录；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5、参加政府采购活动前三年内，在经营活动中没有重大违法记录；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6、已入驻湖南省财政厅政府采购电子卖场证明。</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7、法律、行政法规规定的其他条件。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8、本项目不接受联合体参与投标。</w:t>
      </w:r>
    </w:p>
    <w:p>
      <w:pPr>
        <w:widowControl/>
        <w:numPr>
          <w:ilvl w:val="0"/>
          <w:numId w:val="3"/>
        </w:numPr>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项目需求</w:t>
      </w:r>
    </w:p>
    <w:p>
      <w:pPr>
        <w:pStyle w:val="81"/>
        <w:numPr>
          <w:ilvl w:val="0"/>
          <w:numId w:val="4"/>
        </w:numPr>
        <w:spacing w:before="60" w:after="80" w:line="360" w:lineRule="auto"/>
        <w:ind w:left="479" w:firstLine="0" w:firstLineChars="0"/>
        <w:rPr>
          <w:rFonts w:ascii="宋体" w:hAnsi="宋体" w:cs="宋体"/>
          <w:bCs/>
          <w:color w:val="000000"/>
          <w:sz w:val="24"/>
        </w:rPr>
      </w:pPr>
      <w:r>
        <w:rPr>
          <w:rFonts w:hint="eastAsia" w:ascii="宋体" w:hAnsi="宋体" w:cs="宋体"/>
          <w:bCs/>
          <w:color w:val="000000"/>
          <w:sz w:val="24"/>
        </w:rPr>
        <w:t>项目慨况：</w:t>
      </w:r>
    </w:p>
    <w:p>
      <w:pPr>
        <w:pStyle w:val="18"/>
        <w:widowControl/>
        <w:ind w:leftChars="0" w:firstLine="0" w:firstLineChars="0"/>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s="宋体"/>
          <w:color w:val="000000" w:themeColor="text1"/>
          <w:sz w:val="24"/>
          <w14:textFill>
            <w14:solidFill>
              <w14:schemeClr w14:val="tx1"/>
            </w14:solidFill>
          </w14:textFill>
        </w:rPr>
        <w:t>、项目名称：五金、日杂及木质材料</w:t>
      </w:r>
      <w:r>
        <w:rPr>
          <w:rFonts w:hint="eastAsia" w:ascii="宋体" w:hAnsi="宋体" w:cs="宋体"/>
          <w:color w:val="000000"/>
          <w:kern w:val="0"/>
          <w:sz w:val="24"/>
        </w:rPr>
        <w:t>供应商</w:t>
      </w:r>
      <w:r>
        <w:rPr>
          <w:rFonts w:hint="eastAsia" w:cs="宋体"/>
          <w:color w:val="000000" w:themeColor="text1"/>
          <w:sz w:val="24"/>
          <w14:textFill>
            <w14:solidFill>
              <w14:schemeClr w14:val="tx1"/>
            </w14:solidFill>
          </w14:textFill>
        </w:rPr>
        <w:t>采购项目</w:t>
      </w:r>
    </w:p>
    <w:p>
      <w:pPr>
        <w:pStyle w:val="18"/>
        <w:widowControl/>
        <w:ind w:leftChars="0" w:firstLine="0" w:firstLineChars="0"/>
        <w:rPr>
          <w:rFonts w:cs="宋体"/>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s="宋体"/>
          <w:color w:val="000000" w:themeColor="text1"/>
          <w:sz w:val="24"/>
          <w14:textFill>
            <w14:solidFill>
              <w14:schemeClr w14:val="tx1"/>
            </w14:solidFill>
          </w14:textFill>
        </w:rPr>
        <w:t>、选定单位：选定一家供应商</w:t>
      </w:r>
    </w:p>
    <w:p>
      <w:pPr>
        <w:pStyle w:val="18"/>
        <w:widowControl/>
        <w:ind w:leftChars="0" w:firstLine="0" w:firstLineChars="0"/>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3、服务期限：一年</w:t>
      </w:r>
    </w:p>
    <w:p>
      <w:pPr>
        <w:ind w:firstLine="480" w:firstLineChars="200"/>
        <w:rPr>
          <w:sz w:val="24"/>
        </w:rPr>
      </w:pPr>
      <w:r>
        <w:rPr>
          <w:rFonts w:hint="eastAsia" w:ascii="宋体" w:hAnsi="宋体" w:cs="宋体"/>
          <w:bCs/>
          <w:color w:val="000000"/>
          <w:sz w:val="24"/>
        </w:rPr>
        <w:t>（二）</w:t>
      </w:r>
      <w:r>
        <w:rPr>
          <w:rFonts w:hint="eastAsia"/>
          <w:sz w:val="24"/>
        </w:rPr>
        <w:t>项目报价：</w:t>
      </w:r>
    </w:p>
    <w:p>
      <w:pPr>
        <w:pStyle w:val="17"/>
        <w:widowControl w:val="0"/>
        <w:tabs>
          <w:tab w:val="left" w:pos="3420"/>
        </w:tabs>
        <w:spacing w:before="0" w:beforeAutospacing="0" w:after="0" w:afterAutospacing="0" w:line="360" w:lineRule="exact"/>
        <w:ind w:firstLine="482" w:firstLineChars="200"/>
        <w:jc w:val="both"/>
        <w:rPr>
          <w:rFonts w:cs="宋体"/>
          <w:b/>
          <w:color w:val="000000" w:themeColor="text1"/>
          <w:highlight w:val="lightGray"/>
          <w14:textFill>
            <w14:solidFill>
              <w14:schemeClr w14:val="tx1"/>
            </w14:solidFill>
          </w14:textFill>
        </w:rPr>
      </w:pPr>
      <w:r>
        <w:rPr>
          <w:rFonts w:hint="eastAsia" w:cs="宋体"/>
          <w:b/>
          <w:color w:val="000000" w:themeColor="text1"/>
          <w14:textFill>
            <w14:solidFill>
              <w14:schemeClr w14:val="tx1"/>
            </w14:solidFill>
          </w14:textFill>
        </w:rPr>
        <w:t>1、五金材料名称、规格性能、品牌及报价</w:t>
      </w:r>
    </w:p>
    <w:tbl>
      <w:tblPr>
        <w:tblStyle w:val="19"/>
        <w:tblW w:w="10132" w:type="dxa"/>
        <w:tblInd w:w="-287" w:type="dxa"/>
        <w:tblLayout w:type="fixed"/>
        <w:tblCellMar>
          <w:top w:w="0" w:type="dxa"/>
          <w:left w:w="108" w:type="dxa"/>
          <w:bottom w:w="0" w:type="dxa"/>
          <w:right w:w="108" w:type="dxa"/>
        </w:tblCellMar>
      </w:tblPr>
      <w:tblGrid>
        <w:gridCol w:w="809"/>
        <w:gridCol w:w="1533"/>
        <w:gridCol w:w="1167"/>
        <w:gridCol w:w="875"/>
        <w:gridCol w:w="1234"/>
        <w:gridCol w:w="1119"/>
        <w:gridCol w:w="668"/>
        <w:gridCol w:w="777"/>
        <w:gridCol w:w="914"/>
        <w:gridCol w:w="1036"/>
      </w:tblGrid>
      <w:tr>
        <w:tblPrEx>
          <w:tblCellMar>
            <w:top w:w="0" w:type="dxa"/>
            <w:left w:w="108" w:type="dxa"/>
            <w:bottom w:w="0" w:type="dxa"/>
            <w:right w:w="108" w:type="dxa"/>
          </w:tblCellMar>
        </w:tblPrEx>
        <w:trPr>
          <w:trHeight w:val="573"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物品名称</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规格型号</w:t>
            </w:r>
          </w:p>
        </w:tc>
        <w:tc>
          <w:tcPr>
            <w:tcW w:w="3228" w:type="dxa"/>
            <w:gridSpan w:val="3"/>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品牌</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单位</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数量</w:t>
            </w:r>
          </w:p>
        </w:tc>
        <w:tc>
          <w:tcPr>
            <w:tcW w:w="914"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报价</w:t>
            </w:r>
          </w:p>
        </w:tc>
        <w:tc>
          <w:tcPr>
            <w:tcW w:w="1036" w:type="dxa"/>
            <w:tcBorders>
              <w:top w:val="single" w:color="auto" w:sz="6" w:space="0"/>
              <w:left w:val="single" w:color="auto" w:sz="6" w:space="0"/>
              <w:bottom w:val="single" w:color="auto" w:sz="6" w:space="0"/>
              <w:right w:val="single" w:color="auto" w:sz="6" w:space="0"/>
            </w:tcBorders>
            <w:vAlign w:val="center"/>
          </w:tcPr>
          <w:p>
            <w:pPr>
              <w:spacing w:line="360" w:lineRule="auto"/>
              <w:ind w:left="200" w:hanging="200" w:hangingChars="100"/>
              <w:rPr>
                <w:rFonts w:ascii="宋体" w:hAnsi="宋体"/>
                <w:color w:val="000000" w:themeColor="text1"/>
                <w:szCs w:val="21"/>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优惠率</w:t>
            </w: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弹子挂锁</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25mm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single" w:color="auto" w:sz="6" w:space="0"/>
              <w:right w:val="single" w:color="auto" w:sz="6" w:space="0"/>
            </w:tcBorders>
            <w:vAlign w:val="top"/>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尚美佳</w:t>
            </w:r>
          </w:p>
        </w:tc>
        <w:tc>
          <w:tcPr>
            <w:tcW w:w="1119" w:type="dxa"/>
            <w:tcBorders>
              <w:top w:val="single" w:color="auto" w:sz="6" w:space="0"/>
              <w:left w:val="single" w:color="auto" w:sz="6" w:space="0"/>
              <w:bottom w:val="single" w:color="auto" w:sz="6" w:space="0"/>
              <w:right w:val="single" w:color="auto" w:sz="6" w:space="0"/>
            </w:tcBorders>
            <w:vAlign w:val="top"/>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环盾</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restart"/>
            <w:tcBorders>
              <w:top w:val="single" w:color="auto" w:sz="6" w:space="0"/>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弹子挂锁</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38mm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single" w:color="auto" w:sz="6" w:space="0"/>
              <w:right w:val="single" w:color="auto" w:sz="6" w:space="0"/>
            </w:tcBorders>
            <w:vAlign w:val="top"/>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尚美佳</w:t>
            </w:r>
          </w:p>
        </w:tc>
        <w:tc>
          <w:tcPr>
            <w:tcW w:w="1119" w:type="dxa"/>
            <w:tcBorders>
              <w:top w:val="single" w:color="auto" w:sz="6" w:space="0"/>
              <w:left w:val="single" w:color="auto" w:sz="6" w:space="0"/>
              <w:bottom w:val="single" w:color="auto" w:sz="6" w:space="0"/>
              <w:right w:val="single" w:color="auto" w:sz="6" w:space="0"/>
            </w:tcBorders>
            <w:vAlign w:val="top"/>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环盾</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弹子挂锁</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50mm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single" w:color="auto" w:sz="6" w:space="0"/>
              <w:right w:val="single" w:color="auto" w:sz="6" w:space="0"/>
            </w:tcBorders>
            <w:vAlign w:val="top"/>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尚美佳</w:t>
            </w:r>
          </w:p>
        </w:tc>
        <w:tc>
          <w:tcPr>
            <w:tcW w:w="1119" w:type="dxa"/>
            <w:tcBorders>
              <w:top w:val="single" w:color="auto" w:sz="6" w:space="0"/>
              <w:left w:val="single" w:color="auto" w:sz="6" w:space="0"/>
              <w:bottom w:val="single" w:color="auto" w:sz="6" w:space="0"/>
              <w:right w:val="single" w:color="auto" w:sz="6" w:space="0"/>
            </w:tcBorders>
            <w:vAlign w:val="top"/>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环盾</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不锈钢手提门锁（钥匙8片）</w:t>
            </w:r>
            <w:r>
              <w:rPr>
                <w:rFonts w:hint="eastAsia" w:ascii="宋体" w:hAnsi="宋体" w:cs="宋体"/>
                <w:color w:val="000000"/>
                <w:kern w:val="0"/>
                <w:sz w:val="20"/>
                <w:szCs w:val="20"/>
              </w:rPr>
              <w:t>★</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大50（全铜锁芯）</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固特</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不锈钢手提门锁（钥匙8片）</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小50（全铜锁芯）</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固特</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180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阳台门锁</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30-35</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固特</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实木门锁体</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大50、小50</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永绅</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安强</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400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8</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全铜锁芯（钥匙8片）</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大50</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固特</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个</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9</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全铜锁芯（钥匙8片）</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小50</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固特</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个</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10</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全铜锁芯</w:t>
            </w:r>
            <w:r>
              <w:rPr>
                <w:rFonts w:hint="eastAsia" w:ascii="宋体" w:hAnsi="宋体" w:cs="宋体"/>
                <w:color w:val="000000"/>
                <w:kern w:val="0"/>
                <w:sz w:val="20"/>
                <w:szCs w:val="20"/>
              </w:rPr>
              <w:t>★</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75</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金美意</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德亚龙</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110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11</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全铜锁芯</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90</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安吉</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金点原子</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15</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12</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全铜锁芯</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115</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安吉</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金点原子</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13</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厕所门合页</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120*35</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安吉</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浦恒</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付</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14</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阳台门合页</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100*30</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满冠</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浦恒</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付</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15</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铁插销</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100mm</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color w:val="000000" w:themeColor="text1"/>
                <w:szCs w:val="21"/>
                <w:lang w:val="en-US" w:eastAsia="zh-CN"/>
                <w14:textFill>
                  <w14:solidFill>
                    <w14:schemeClr w14:val="tx1"/>
                  </w14:solidFill>
                </w14:textFill>
              </w:rPr>
              <w:t>云牛</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浦恒</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付</w:t>
            </w:r>
          </w:p>
        </w:tc>
        <w:tc>
          <w:tcPr>
            <w:tcW w:w="777" w:type="dxa"/>
            <w:tcBorders>
              <w:top w:val="single" w:color="auto" w:sz="6" w:space="0"/>
              <w:left w:val="single" w:color="auto" w:sz="6" w:space="0"/>
              <w:bottom w:val="nil"/>
              <w:right w:val="single" w:color="auto" w:sz="6" w:space="0"/>
            </w:tcBorders>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16</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铁插销</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150mm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color w:val="000000" w:themeColor="text1"/>
                <w:szCs w:val="21"/>
                <w:lang w:val="en-US" w:eastAsia="zh-CN"/>
                <w14:textFill>
                  <w14:solidFill>
                    <w14:schemeClr w14:val="tx1"/>
                  </w14:solidFill>
                </w14:textFill>
              </w:rPr>
              <w:t>云牛</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浦恒</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付</w:t>
            </w:r>
          </w:p>
        </w:tc>
        <w:tc>
          <w:tcPr>
            <w:tcW w:w="777"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17</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铝合金窗扣(材质合金铝)</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75mm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百兴</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满冠</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浦恒</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付</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restart"/>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18</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国标自攻螺丝</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3*15mm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color w:val="000000" w:themeColor="text1"/>
                <w:szCs w:val="21"/>
                <w:lang w:val="en-US" w:eastAsia="zh-CN"/>
                <w14:textFill>
                  <w14:solidFill>
                    <w14:schemeClr w14:val="tx1"/>
                  </w14:solidFill>
                </w14:textFill>
              </w:rPr>
              <w:t>飞洋</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color w:val="000000" w:themeColor="text1"/>
                <w:szCs w:val="21"/>
                <w:lang w:val="en-US" w:eastAsia="zh-CN"/>
                <w14:textFill>
                  <w14:solidFill>
                    <w14:schemeClr w14:val="tx1"/>
                  </w14:solidFill>
                </w14:textFill>
              </w:rPr>
              <w:t>富申</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汇成丰</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个</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600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19</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国标自攻螺丝</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3*20mm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飞洋</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stheme="minorBidi"/>
                <w:color w:val="000000" w:themeColor="text1"/>
                <w:szCs w:val="21"/>
                <w:lang w:val="en-US" w:eastAsia="zh-CN"/>
                <w14:textFill>
                  <w14:solidFill>
                    <w14:schemeClr w14:val="tx1"/>
                  </w14:solidFill>
                </w14:textFill>
              </w:rPr>
              <w:t>富申</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汇成丰</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个</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600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国标自攻螺丝</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4*30mm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飞洋</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富申</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汇成丰</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个</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600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21</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国标自攻螺丝</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4*40mm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飞洋</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富申</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汇成丰</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个</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600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22</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优惠后报价汇总/元</w:t>
            </w:r>
          </w:p>
        </w:tc>
        <w:tc>
          <w:tcPr>
            <w:tcW w:w="6754" w:type="dxa"/>
            <w:gridSpan w:val="7"/>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0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bl>
    <w:p>
      <w:pPr>
        <w:spacing w:before="60" w:after="80" w:line="360" w:lineRule="auto"/>
        <w:jc w:val="left"/>
        <w:rPr>
          <w:lang w:bidi="ar"/>
        </w:rPr>
      </w:pPr>
      <w:bookmarkStart w:id="6" w:name="_Hlk169257340"/>
      <w:r>
        <w:rPr>
          <w:rFonts w:hint="eastAsia" w:cs="宋体"/>
          <w:bCs/>
          <w:color w:val="000000" w:themeColor="text1"/>
          <w:sz w:val="24"/>
          <w:lang w:bidi="ar"/>
          <w14:textFill>
            <w14:solidFill>
              <w14:schemeClr w14:val="tx1"/>
            </w14:solidFill>
          </w14:textFill>
        </w:rPr>
        <w:t>注：（</w:t>
      </w:r>
      <w:r>
        <w:rPr>
          <w:bCs/>
          <w:color w:val="000000" w:themeColor="text1"/>
          <w:sz w:val="24"/>
          <w:lang w:bidi="ar"/>
          <w14:textFill>
            <w14:solidFill>
              <w14:schemeClr w14:val="tx1"/>
            </w14:solidFill>
          </w14:textFill>
        </w:rPr>
        <w:t>1</w:t>
      </w:r>
      <w:r>
        <w:rPr>
          <w:rFonts w:hint="eastAsia" w:cs="宋体"/>
          <w:bCs/>
          <w:color w:val="000000" w:themeColor="text1"/>
          <w:sz w:val="24"/>
          <w:lang w:bidi="ar"/>
          <w14:textFill>
            <w14:solidFill>
              <w14:schemeClr w14:val="tx1"/>
            </w14:solidFill>
          </w14:textFill>
        </w:rPr>
        <w:t>）报价为推荐三个品牌的综合均价。（2）上表中未列的其它商品价格不高于市场价格的基础上向甲方按优惠率供货</w:t>
      </w:r>
      <w:r>
        <w:rPr>
          <w:rFonts w:ascii="宋体" w:hAnsi="宋体" w:cs="宋体"/>
          <w:sz w:val="24"/>
        </w:rPr>
        <w:t>且不得高于政采云的平均成交价</w:t>
      </w:r>
      <w:r>
        <w:rPr>
          <w:rFonts w:hint="eastAsia" w:ascii="宋体" w:hAnsi="宋体" w:cs="宋体"/>
          <w:sz w:val="24"/>
        </w:rPr>
        <w:t>（所有货物均需要单独上架）</w:t>
      </w:r>
      <w:r>
        <w:rPr>
          <w:rFonts w:ascii="宋体" w:hAnsi="宋体" w:cs="宋体"/>
          <w:sz w:val="24"/>
        </w:rPr>
        <w:t>。</w:t>
      </w:r>
      <w:r>
        <w:rPr>
          <w:rFonts w:hint="eastAsia" w:cs="宋体"/>
          <w:bCs/>
          <w:color w:val="000000" w:themeColor="text1"/>
          <w:sz w:val="24"/>
          <w:lang w:bidi="ar"/>
          <w14:textFill>
            <w14:solidFill>
              <w14:schemeClr w14:val="tx1"/>
            </w14:solidFill>
          </w14:textFill>
        </w:rPr>
        <w:t>（</w:t>
      </w:r>
      <w:r>
        <w:rPr>
          <w:bCs/>
          <w:color w:val="000000" w:themeColor="text1"/>
          <w:sz w:val="24"/>
          <w:lang w:bidi="ar"/>
          <w14:textFill>
            <w14:solidFill>
              <w14:schemeClr w14:val="tx1"/>
            </w14:solidFill>
          </w14:textFill>
        </w:rPr>
        <w:t>3</w:t>
      </w:r>
      <w:r>
        <w:rPr>
          <w:rFonts w:hint="eastAsia" w:cs="宋体"/>
          <w:bCs/>
          <w:color w:val="000000" w:themeColor="text1"/>
          <w:sz w:val="24"/>
          <w:lang w:bidi="ar"/>
          <w14:textFill>
            <w14:solidFill>
              <w14:schemeClr w14:val="tx1"/>
            </w14:solidFill>
          </w14:textFill>
        </w:rPr>
        <w:t>）需要单独提供一份技术参数和报价表，对表中不同品牌列出报价清单，</w:t>
      </w:r>
      <w:r>
        <w:rPr>
          <w:rFonts w:hint="eastAsia" w:cs="宋体"/>
          <w:b/>
          <w:color w:val="000000" w:themeColor="text1"/>
          <w:sz w:val="24"/>
          <w:lang w:bidi="ar"/>
          <w14:textFill>
            <w14:solidFill>
              <w14:schemeClr w14:val="tx1"/>
            </w14:solidFill>
          </w14:textFill>
        </w:rPr>
        <w:t>盖章备用。</w:t>
      </w:r>
      <w:r>
        <w:rPr>
          <w:rFonts w:hint="eastAsia" w:cs="宋体"/>
          <w:bCs/>
          <w:color w:val="000000" w:themeColor="text1"/>
          <w:sz w:val="24"/>
          <w:lang w:bidi="ar"/>
          <w14:textFill>
            <w14:solidFill>
              <w14:schemeClr w14:val="tx1"/>
            </w14:solidFill>
          </w14:textFill>
        </w:rPr>
        <w:t>（4）</w:t>
      </w:r>
      <w:bookmarkStart w:id="7" w:name="_Hlk169256993"/>
      <w:bookmarkStart w:id="8" w:name="_Hlk169257368"/>
      <w:r>
        <w:rPr>
          <w:rFonts w:hint="eastAsia" w:ascii="宋体" w:hAnsi="宋体" w:cs="宋体"/>
          <w:color w:val="FF0000"/>
          <w:sz w:val="24"/>
        </w:rPr>
        <w:t>说明：分项报价为优惠之前的原价。</w:t>
      </w:r>
      <w:r>
        <w:rPr>
          <w:rFonts w:hint="eastAsia" w:ascii="宋体" w:hAnsi="宋体" w:cs="宋体"/>
          <w:color w:val="FF0000"/>
          <w:kern w:val="0"/>
          <w:szCs w:val="21"/>
        </w:rPr>
        <w:t>优惠报价汇总=∑</w:t>
      </w:r>
      <w:bookmarkEnd w:id="7"/>
      <w:r>
        <w:rPr>
          <w:rFonts w:hint="eastAsia" w:ascii="宋体" w:hAnsi="宋体" w:cs="宋体"/>
          <w:color w:val="FF0000"/>
          <w:kern w:val="0"/>
          <w:szCs w:val="21"/>
        </w:rPr>
        <w:t>[分项报价×（1-优惠率）]</w:t>
      </w:r>
    </w:p>
    <w:bookmarkEnd w:id="6"/>
    <w:bookmarkEnd w:id="8"/>
    <w:p>
      <w:pPr>
        <w:spacing w:before="156" w:beforeLines="50" w:line="360" w:lineRule="auto"/>
        <w:ind w:firstLine="482" w:firstLineChars="200"/>
        <w:rPr>
          <w:rFonts w:ascii="宋体" w:hAnsi="宋体" w:cs="宋体"/>
          <w:b/>
          <w:color w:val="000000" w:themeColor="text1"/>
          <w:sz w:val="24"/>
          <w:highlight w:val="lightGray"/>
          <w14:textFill>
            <w14:solidFill>
              <w14:schemeClr w14:val="tx1"/>
            </w14:solidFill>
          </w14:textFill>
        </w:rPr>
      </w:pPr>
      <w:r>
        <w:rPr>
          <w:rFonts w:hint="eastAsia" w:cs="宋体"/>
          <w:b/>
          <w:color w:val="000000" w:themeColor="text1"/>
          <w:sz w:val="24"/>
          <w:lang w:bidi="ar"/>
          <w14:textFill>
            <w14:solidFill>
              <w14:schemeClr w14:val="tx1"/>
            </w14:solidFill>
          </w14:textFill>
        </w:rPr>
        <w:t>2、</w:t>
      </w:r>
      <w:r>
        <w:rPr>
          <w:rFonts w:hint="eastAsia" w:ascii="宋体" w:hAnsi="宋体" w:cs="宋体"/>
          <w:b/>
          <w:color w:val="000000" w:themeColor="text1"/>
          <w:sz w:val="24"/>
          <w14:textFill>
            <w14:solidFill>
              <w14:schemeClr w14:val="tx1"/>
            </w14:solidFill>
          </w14:textFill>
        </w:rPr>
        <w:t>日杂及木质材料名称、规格性能、品牌及报价</w:t>
      </w:r>
    </w:p>
    <w:tbl>
      <w:tblPr>
        <w:tblStyle w:val="19"/>
        <w:tblpPr w:leftFromText="180" w:rightFromText="180" w:vertAnchor="text" w:horzAnchor="page" w:tblpX="1018" w:tblpY="460"/>
        <w:tblOverlap w:val="never"/>
        <w:tblW w:w="10173" w:type="dxa"/>
        <w:tblInd w:w="0" w:type="dxa"/>
        <w:tblLayout w:type="fixed"/>
        <w:tblCellMar>
          <w:top w:w="0" w:type="dxa"/>
          <w:left w:w="0" w:type="dxa"/>
          <w:bottom w:w="0" w:type="dxa"/>
          <w:right w:w="0" w:type="dxa"/>
        </w:tblCellMar>
      </w:tblPr>
      <w:tblGrid>
        <w:gridCol w:w="586"/>
        <w:gridCol w:w="1446"/>
        <w:gridCol w:w="2227"/>
        <w:gridCol w:w="1022"/>
        <w:gridCol w:w="887"/>
        <w:gridCol w:w="927"/>
        <w:gridCol w:w="569"/>
        <w:gridCol w:w="668"/>
        <w:gridCol w:w="791"/>
        <w:gridCol w:w="1050"/>
      </w:tblGrid>
      <w:tr>
        <w:tblPrEx>
          <w:tblCellMar>
            <w:top w:w="0" w:type="dxa"/>
            <w:left w:w="0" w:type="dxa"/>
            <w:bottom w:w="0" w:type="dxa"/>
            <w:right w:w="0" w:type="dxa"/>
          </w:tblCellMar>
        </w:tblPrEx>
        <w:trPr>
          <w:trHeight w:val="691"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序号</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物品名称</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规格型号</w:t>
            </w:r>
          </w:p>
        </w:tc>
        <w:tc>
          <w:tcPr>
            <w:tcW w:w="2836"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textAlignment w:val="center"/>
              <w:rPr>
                <w:rFonts w:ascii="宋体" w:hAnsi="宋体" w:cs="宋体"/>
                <w:color w:val="000000" w:themeColor="text1"/>
                <w:szCs w:val="21"/>
                <w14:textFill>
                  <w14:solidFill>
                    <w14:schemeClr w14:val="tx1"/>
                  </w14:solidFill>
                </w14:textFill>
              </w:rPr>
            </w:pPr>
          </w:p>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品牌</w:t>
            </w:r>
          </w:p>
          <w:p>
            <w:pPr>
              <w:widowControl/>
              <w:textAlignment w:val="center"/>
              <w:rPr>
                <w:rFonts w:ascii="宋体" w:hAnsi="宋体" w:cs="宋体"/>
                <w:color w:val="000000" w:themeColor="text1"/>
                <w:kern w:val="0"/>
                <w:szCs w:val="21"/>
                <w14:textFill>
                  <w14:solidFill>
                    <w14:schemeClr w14:val="tx1"/>
                  </w14:solidFill>
                </w14:textFill>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单位</w:t>
            </w: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数量</w:t>
            </w:r>
          </w:p>
        </w:tc>
        <w:tc>
          <w:tcPr>
            <w:tcW w:w="791" w:type="dxa"/>
            <w:tcBorders>
              <w:top w:val="single" w:color="000000" w:sz="4" w:space="0"/>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报价</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优惠率</w:t>
            </w: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海棉拖把</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pp/pvA/不锈钢38cm</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好媳妇</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妙雅</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米创</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68"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220</w:t>
            </w:r>
          </w:p>
        </w:tc>
        <w:tc>
          <w:tcPr>
            <w:tcW w:w="79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restart"/>
            <w:tcBorders>
              <w:top w:val="single" w:color="000000" w:sz="4" w:space="0"/>
              <w:left w:val="single" w:color="auto"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4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棉布拖把</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纯棉布条手工订制</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自制</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自制</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自制</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68"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500</w:t>
            </w:r>
          </w:p>
        </w:tc>
        <w:tc>
          <w:tcPr>
            <w:tcW w:w="79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auto"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42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抹布</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35x75纳米磨毛</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鸟王</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棉之情</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红日</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条</w:t>
            </w:r>
          </w:p>
        </w:tc>
        <w:tc>
          <w:tcPr>
            <w:tcW w:w="668"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600</w:t>
            </w:r>
          </w:p>
        </w:tc>
        <w:tc>
          <w:tcPr>
            <w:tcW w:w="79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auto"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4</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编织袋</w:t>
            </w:r>
            <w:r>
              <w:rPr>
                <w:rFonts w:hint="eastAsia" w:ascii="宋体" w:hAnsi="宋体" w:cs="宋体"/>
                <w:color w:val="000000"/>
                <w:kern w:val="0"/>
                <w:sz w:val="20"/>
                <w:szCs w:val="20"/>
              </w:rPr>
              <w:t>★</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80㎝涂塑材料制防水帆布</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象肚</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炫亮</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优芬</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68"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260</w:t>
            </w:r>
          </w:p>
        </w:tc>
        <w:tc>
          <w:tcPr>
            <w:tcW w:w="79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auto"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背心式塑料垃圾袋</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35*56*3丝，材质PE-HD</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吉祥如意</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金悦</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洁乐惠</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68" w:type="dxa"/>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1000</w:t>
            </w:r>
          </w:p>
        </w:tc>
        <w:tc>
          <w:tcPr>
            <w:tcW w:w="79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auto"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6</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扫把簸箕套装</w:t>
            </w:r>
            <w:r>
              <w:rPr>
                <w:rFonts w:hint="eastAsia" w:ascii="宋体" w:hAnsi="宋体" w:cs="宋体"/>
                <w:color w:val="000000"/>
                <w:kern w:val="0"/>
                <w:sz w:val="20"/>
                <w:szCs w:val="20"/>
              </w:rPr>
              <w:t>★</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PP十PET十钢管</w:t>
            </w:r>
          </w:p>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常规</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得翔</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米创</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家杰美</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套</w:t>
            </w: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200</w:t>
            </w:r>
          </w:p>
        </w:tc>
        <w:tc>
          <w:tcPr>
            <w:tcW w:w="791" w:type="dxa"/>
            <w:tcBorders>
              <w:top w:val="single" w:color="auto" w:sz="4" w:space="0"/>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7</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带轮大垃圾桶</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260L, 材质HDPE</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章发</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景泰</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迈创 </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100</w:t>
            </w:r>
          </w:p>
        </w:tc>
        <w:tc>
          <w:tcPr>
            <w:tcW w:w="791"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8</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带轮大垃圾桶</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140L,50*56*78cm,HDPE</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章发</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景泰</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迈创 </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100</w:t>
            </w:r>
          </w:p>
        </w:tc>
        <w:tc>
          <w:tcPr>
            <w:tcW w:w="791"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9</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脚踏式双桶垃圾桶</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20L*2,43*30*48，材质HD-PE</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章发</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景泰</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迈创 </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150</w:t>
            </w:r>
          </w:p>
        </w:tc>
        <w:tc>
          <w:tcPr>
            <w:tcW w:w="791"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小垃圾桶</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280×210×290，pp材质</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嘉乐惠</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品彩</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嘉宇</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250</w:t>
            </w:r>
          </w:p>
        </w:tc>
        <w:tc>
          <w:tcPr>
            <w:tcW w:w="791"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11</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小垃圾篓</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280×210×290，pp材质</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嘉乐惠</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家和</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嘉宇</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260</w:t>
            </w:r>
          </w:p>
        </w:tc>
        <w:tc>
          <w:tcPr>
            <w:tcW w:w="791"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12</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镂空特厚防滑脚垫</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15*1.2m PVC材质</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凯琳</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三G</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华亿</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米</w:t>
            </w: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20</w:t>
            </w:r>
          </w:p>
        </w:tc>
        <w:tc>
          <w:tcPr>
            <w:tcW w:w="791"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1010"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13</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两分类不锈钢双桶垃圾箱</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100*36*98,304不锈钢材质</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章发</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景泰</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 xml:space="preserve">迈创 </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80</w:t>
            </w:r>
          </w:p>
        </w:tc>
        <w:tc>
          <w:tcPr>
            <w:tcW w:w="791"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14</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免漆生态板</w:t>
            </w:r>
          </w:p>
        </w:tc>
        <w:tc>
          <w:tcPr>
            <w:tcW w:w="22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1.22*2.44、E。环保生态板</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大丰</w:t>
            </w:r>
          </w:p>
        </w:tc>
        <w:tc>
          <w:tcPr>
            <w:tcW w:w="8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莫干山</w:t>
            </w:r>
          </w:p>
        </w:tc>
        <w:tc>
          <w:tcPr>
            <w:tcW w:w="9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爱尚林韵</w:t>
            </w:r>
          </w:p>
        </w:tc>
        <w:tc>
          <w:tcPr>
            <w:tcW w:w="5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块</w:t>
            </w:r>
          </w:p>
        </w:tc>
        <w:tc>
          <w:tcPr>
            <w:tcW w:w="6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w:t>
            </w:r>
          </w:p>
        </w:tc>
        <w:tc>
          <w:tcPr>
            <w:tcW w:w="791"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93" w:hRule="atLeast"/>
        </w:trPr>
        <w:tc>
          <w:tcPr>
            <w:tcW w:w="5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15</w:t>
            </w:r>
          </w:p>
        </w:tc>
        <w:tc>
          <w:tcPr>
            <w:tcW w:w="144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优惠后报价汇总/元</w:t>
            </w:r>
          </w:p>
        </w:tc>
        <w:tc>
          <w:tcPr>
            <w:tcW w:w="7091" w:type="dxa"/>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bl>
    <w:p>
      <w:pPr>
        <w:spacing w:before="60" w:after="80" w:line="360" w:lineRule="auto"/>
        <w:jc w:val="left"/>
        <w:rPr>
          <w:lang w:bidi="ar"/>
        </w:rPr>
      </w:pPr>
      <w:r>
        <w:rPr>
          <w:rFonts w:hint="eastAsia" w:cs="宋体"/>
          <w:bCs/>
          <w:color w:val="000000" w:themeColor="text1"/>
          <w:sz w:val="24"/>
          <w:lang w:bidi="ar"/>
          <w14:textFill>
            <w14:solidFill>
              <w14:schemeClr w14:val="tx1"/>
            </w14:solidFill>
          </w14:textFill>
        </w:rPr>
        <w:t>注：（</w:t>
      </w:r>
      <w:r>
        <w:rPr>
          <w:bCs/>
          <w:color w:val="000000" w:themeColor="text1"/>
          <w:sz w:val="24"/>
          <w:lang w:bidi="ar"/>
          <w14:textFill>
            <w14:solidFill>
              <w14:schemeClr w14:val="tx1"/>
            </w14:solidFill>
          </w14:textFill>
        </w:rPr>
        <w:t>1</w:t>
      </w:r>
      <w:r>
        <w:rPr>
          <w:rFonts w:hint="eastAsia" w:cs="宋体"/>
          <w:bCs/>
          <w:color w:val="000000" w:themeColor="text1"/>
          <w:sz w:val="24"/>
          <w:lang w:bidi="ar"/>
          <w14:textFill>
            <w14:solidFill>
              <w14:schemeClr w14:val="tx1"/>
            </w14:solidFill>
          </w14:textFill>
        </w:rPr>
        <w:t>）报价为推荐三个品牌的综合均价。（2）上表中未列的其它商品价格不高于市场价格的基础上向甲方按优惠率供货</w:t>
      </w:r>
      <w:r>
        <w:rPr>
          <w:rFonts w:ascii="宋体" w:hAnsi="宋体" w:cs="宋体"/>
          <w:sz w:val="24"/>
        </w:rPr>
        <w:t>且不得高于政采云的平均成交价</w:t>
      </w:r>
      <w:r>
        <w:rPr>
          <w:rFonts w:hint="eastAsia" w:ascii="宋体" w:hAnsi="宋体" w:cs="宋体"/>
          <w:sz w:val="24"/>
        </w:rPr>
        <w:t>（所有货物均需要单独上架）</w:t>
      </w:r>
      <w:r>
        <w:rPr>
          <w:rFonts w:ascii="宋体" w:hAnsi="宋体" w:cs="宋体"/>
          <w:sz w:val="24"/>
        </w:rPr>
        <w:t>。</w:t>
      </w:r>
      <w:r>
        <w:rPr>
          <w:rFonts w:hint="eastAsia" w:cs="宋体"/>
          <w:bCs/>
          <w:color w:val="000000" w:themeColor="text1"/>
          <w:sz w:val="24"/>
          <w:lang w:bidi="ar"/>
          <w14:textFill>
            <w14:solidFill>
              <w14:schemeClr w14:val="tx1"/>
            </w14:solidFill>
          </w14:textFill>
        </w:rPr>
        <w:t>（</w:t>
      </w:r>
      <w:r>
        <w:rPr>
          <w:bCs/>
          <w:color w:val="000000" w:themeColor="text1"/>
          <w:sz w:val="24"/>
          <w:lang w:bidi="ar"/>
          <w14:textFill>
            <w14:solidFill>
              <w14:schemeClr w14:val="tx1"/>
            </w14:solidFill>
          </w14:textFill>
        </w:rPr>
        <w:t>3</w:t>
      </w:r>
      <w:r>
        <w:rPr>
          <w:rFonts w:hint="eastAsia" w:cs="宋体"/>
          <w:bCs/>
          <w:color w:val="000000" w:themeColor="text1"/>
          <w:sz w:val="24"/>
          <w:lang w:bidi="ar"/>
          <w14:textFill>
            <w14:solidFill>
              <w14:schemeClr w14:val="tx1"/>
            </w14:solidFill>
          </w14:textFill>
        </w:rPr>
        <w:t>）需要单独提供一份技术参数和报价表，对表中不同品牌列出报价清单，</w:t>
      </w:r>
      <w:r>
        <w:rPr>
          <w:rFonts w:hint="eastAsia" w:cs="宋体"/>
          <w:b/>
          <w:color w:val="000000" w:themeColor="text1"/>
          <w:sz w:val="24"/>
          <w:lang w:bidi="ar"/>
          <w14:textFill>
            <w14:solidFill>
              <w14:schemeClr w14:val="tx1"/>
            </w14:solidFill>
          </w14:textFill>
        </w:rPr>
        <w:t>盖章备用。</w:t>
      </w:r>
      <w:r>
        <w:rPr>
          <w:rFonts w:hint="eastAsia" w:cs="宋体"/>
          <w:bCs/>
          <w:color w:val="000000" w:themeColor="text1"/>
          <w:sz w:val="24"/>
          <w:lang w:bidi="ar"/>
          <w14:textFill>
            <w14:solidFill>
              <w14:schemeClr w14:val="tx1"/>
            </w14:solidFill>
          </w14:textFill>
        </w:rPr>
        <w:t>（4）</w:t>
      </w:r>
      <w:r>
        <w:rPr>
          <w:rFonts w:hint="eastAsia" w:ascii="宋体" w:hAnsi="宋体" w:cs="宋体"/>
          <w:color w:val="FF0000"/>
          <w:sz w:val="24"/>
        </w:rPr>
        <w:t>说明：分项报价为优惠之前的原价。</w:t>
      </w:r>
      <w:r>
        <w:rPr>
          <w:rFonts w:hint="eastAsia" w:ascii="宋体" w:hAnsi="宋体" w:cs="宋体"/>
          <w:color w:val="FF0000"/>
          <w:kern w:val="0"/>
          <w:szCs w:val="21"/>
        </w:rPr>
        <w:t>优惠报价汇总=∑[分项报价×（1-优惠率）]</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（三）</w:t>
      </w:r>
      <w:r>
        <w:rPr>
          <w:rFonts w:hint="eastAsia" w:ascii="宋体" w:hAnsi="宋体" w:cs="宋体"/>
          <w:bCs/>
          <w:color w:val="000000"/>
          <w:sz w:val="24"/>
        </w:rPr>
        <w:t>项目要求：</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（说明：本方案中甲方为采购方；乙方为供应商）</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第一条 供货价格确定原则</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采购方、供应商约定：乙方向甲方提供的建材日杂依下述原则来确定产品的价格并结算货物价款：</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1、乙方承诺：向甲方供应的产品价格不得高于招标比选价格与供货同期的株洲市之最低市场价。</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2、乙方承诺：若其所提供任一产品之价格与前述第1款约定不符的，则应以该产品所报价格的双倍为标准，向甲方支付违约金。</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为此，乙方并承诺：前述产品价格的确定，由甲方通过审计或市场调查（询价）的方式来确定，甲方所得出的产品价格具有终局性，乙方对此不持任何异议。</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3、前述产品的价格为到岸价、含税价，即乙方所供产品的价格中已包含货款、运输装卸费、税费、保管费、保险费、保管费等，甲方不另支付其他任何费用。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4、在满足前述第1、2、3款条件之前提下，甲方对乙方所供产品每季度按投标货物总价值的总优惠率结算货物价款。</w:t>
      </w:r>
    </w:p>
    <w:p>
      <w:pPr>
        <w:autoSpaceDE w:val="0"/>
        <w:spacing w:line="360" w:lineRule="auto"/>
        <w:ind w:firstLine="482" w:firstLineChars="200"/>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第二条、货物采购要求</w:t>
      </w:r>
    </w:p>
    <w:p>
      <w:pPr>
        <w:topLinePunct/>
        <w:autoSpaceDE w:val="0"/>
        <w:spacing w:line="360" w:lineRule="auto"/>
        <w:ind w:firstLine="480" w:firstLineChars="200"/>
        <w:jc w:val="left"/>
        <w:rPr>
          <w:rFonts w:ascii="Calibri" w:hAnsi="Calibri"/>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、所供产品是全新的一线优质后勤指定的环保品牌，是用一流的工艺和最佳材料制造而成的正品。</w:t>
      </w:r>
    </w:p>
    <w:p>
      <w:pPr>
        <w:topLinePunct/>
        <w:autoSpaceDE w:val="0"/>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2、供应的产品价格不得高于供货同期的株洲市之最低市场价，严格按照投标时投标价和优惠率结算货款。若所报价格高于市场价，愿承担该宗货物一倍及以上的惩罚性补偿。</w:t>
      </w:r>
    </w:p>
    <w:p>
      <w:pPr>
        <w:widowControl/>
        <w:autoSpaceDE w:val="0"/>
        <w:spacing w:after="120" w:line="360" w:lineRule="auto"/>
        <w:ind w:firstLine="480" w:firstLineChars="200"/>
        <w:rPr>
          <w:color w:val="000000" w:themeColor="text1"/>
          <w:szCs w:val="21"/>
          <w14:textFill>
            <w14:solidFill>
              <w14:schemeClr w14:val="tx1"/>
            </w14:solidFill>
          </w14:textFill>
        </w:rPr>
      </w:pPr>
      <w:r>
        <w:rPr>
          <w:rFonts w:hint="eastAsia" w:ascii="宋体" w:hAnsi="宋体" w:cs="宋体"/>
          <w:color w:val="000000" w:themeColor="text1"/>
          <w:sz w:val="24"/>
          <w14:textFill>
            <w14:solidFill>
              <w14:schemeClr w14:val="tx1"/>
            </w14:solidFill>
          </w14:textFill>
        </w:rPr>
        <w:t>3、产品的价格为到岸价、含税价，即乙方所供产品的价格中已包含货款、运输装卸费、税费、保管费、保险费、保管费等，甲方不再支付其他任何费用。</w:t>
      </w:r>
    </w:p>
    <w:p>
      <w:pPr>
        <w:autoSpaceDE w:val="0"/>
        <w:spacing w:line="360" w:lineRule="auto"/>
        <w:ind w:firstLine="480" w:firstLineChars="200"/>
        <w:rPr>
          <w:rFonts w:ascii="Calibri" w:hAnsi="Calibri"/>
          <w:color w:val="000000" w:themeColor="text1"/>
          <w:sz w:val="24"/>
          <w14:textFill>
            <w14:solidFill>
              <w14:schemeClr w14:val="tx1"/>
            </w14:solidFill>
          </w14:textFill>
        </w:rPr>
      </w:pPr>
      <w:r>
        <w:rPr>
          <w:rFonts w:hint="eastAsia" w:ascii="微软雅黑" w:hAnsi="微软雅黑" w:eastAsia="微软雅黑" w:cs="微软雅黑"/>
          <w:b/>
          <w:bCs/>
          <w:sz w:val="24"/>
        </w:rPr>
        <w:t>★</w:t>
      </w:r>
      <w:r>
        <w:rPr>
          <w:b/>
          <w:bCs/>
          <w:color w:val="000000" w:themeColor="text1"/>
          <w:sz w:val="24"/>
          <w14:textFill>
            <w14:solidFill>
              <w14:schemeClr w14:val="tx1"/>
            </w14:solidFill>
          </w14:textFill>
        </w:rPr>
        <w:t>4</w:t>
      </w:r>
      <w:r>
        <w:rPr>
          <w:rFonts w:hint="eastAsia" w:ascii="宋体" w:hAnsi="宋体" w:cs="宋体"/>
          <w:b/>
          <w:bCs/>
          <w:color w:val="000000" w:themeColor="text1"/>
          <w:sz w:val="24"/>
          <w14:textFill>
            <w14:solidFill>
              <w14:schemeClr w14:val="tx1"/>
            </w14:solidFill>
          </w14:textFill>
        </w:rPr>
        <w:t>、投标时需提供带</w:t>
      </w:r>
      <w:r>
        <w:rPr>
          <w:rFonts w:hint="eastAsia" w:ascii="微软雅黑" w:hAnsi="微软雅黑" w:eastAsia="微软雅黑" w:cs="微软雅黑"/>
          <w:b/>
          <w:bCs/>
          <w:sz w:val="24"/>
        </w:rPr>
        <w:t>★</w:t>
      </w:r>
      <w:r>
        <w:rPr>
          <w:rFonts w:hint="eastAsia" w:ascii="宋体" w:hAnsi="宋体" w:cs="宋体"/>
          <w:b/>
          <w:bCs/>
          <w:color w:val="000000" w:themeColor="text1"/>
          <w:sz w:val="24"/>
          <w14:textFill>
            <w14:solidFill>
              <w14:schemeClr w14:val="tx1"/>
            </w14:solidFill>
          </w14:textFill>
        </w:rPr>
        <w:t>样品或图片，并提供生产许可证、技术性能标准、产品合格证、生产批件及检测报告等相关资料复印件。</w:t>
      </w:r>
    </w:p>
    <w:p>
      <w:pPr>
        <w:autoSpaceDE w:val="0"/>
        <w:spacing w:line="360" w:lineRule="auto"/>
        <w:ind w:firstLine="480" w:firstLineChars="200"/>
        <w:rPr>
          <w:rFonts w:ascii="Calibri" w:hAnsi="Calibri"/>
          <w:color w:val="000000" w:themeColor="text1"/>
          <w:sz w:val="24"/>
          <w14:textFill>
            <w14:solidFill>
              <w14:schemeClr w14:val="tx1"/>
            </w14:solidFill>
          </w14:textFill>
        </w:rPr>
      </w:pPr>
      <w:r>
        <w:rPr>
          <w:color w:val="000000" w:themeColor="text1"/>
          <w:sz w:val="24"/>
          <w14:textFill>
            <w14:solidFill>
              <w14:schemeClr w14:val="tx1"/>
            </w14:solidFill>
          </w14:textFill>
        </w:rPr>
        <w:t>5</w:t>
      </w:r>
      <w:r>
        <w:rPr>
          <w:rFonts w:hint="eastAsia" w:ascii="宋体" w:hAnsi="宋体" w:cs="宋体"/>
          <w:color w:val="000000" w:themeColor="text1"/>
          <w:sz w:val="24"/>
          <w14:textFill>
            <w14:solidFill>
              <w14:schemeClr w14:val="tx1"/>
            </w14:solidFill>
          </w14:textFill>
        </w:rPr>
        <w:t>、所供货物的产地、规格型号、花色、品种与所提供的样品图片相符。</w:t>
      </w:r>
    </w:p>
    <w:p>
      <w:pPr>
        <w:autoSpaceDE w:val="0"/>
        <w:spacing w:line="360" w:lineRule="auto"/>
        <w:ind w:firstLine="480" w:firstLineChars="200"/>
        <w:rPr>
          <w:rFonts w:ascii="Calibri" w:hAnsi="Calibri"/>
          <w:color w:val="000000" w:themeColor="text1"/>
          <w:sz w:val="24"/>
          <w14:textFill>
            <w14:solidFill>
              <w14:schemeClr w14:val="tx1"/>
            </w14:solidFill>
          </w14:textFill>
        </w:rPr>
      </w:pPr>
      <w:r>
        <w:rPr>
          <w:color w:val="000000" w:themeColor="text1"/>
          <w:sz w:val="24"/>
          <w14:textFill>
            <w14:solidFill>
              <w14:schemeClr w14:val="tx1"/>
            </w14:solidFill>
          </w14:textFill>
        </w:rPr>
        <w:t>6</w:t>
      </w:r>
      <w:r>
        <w:rPr>
          <w:rFonts w:hint="eastAsia" w:ascii="宋体" w:hAnsi="宋体" w:cs="宋体"/>
          <w:color w:val="000000" w:themeColor="text1"/>
          <w:sz w:val="24"/>
          <w14:textFill>
            <w14:solidFill>
              <w14:schemeClr w14:val="tx1"/>
            </w14:solidFill>
          </w14:textFill>
        </w:rPr>
        <w:t>、供货地点时间：按后勤采购要求分批供应，及时送达学校后勤处。</w:t>
      </w:r>
    </w:p>
    <w:p>
      <w:pPr>
        <w:widowControl/>
        <w:autoSpaceDE w:val="0"/>
        <w:spacing w:after="120" w:line="360" w:lineRule="auto"/>
        <w:ind w:firstLine="480" w:firstLineChars="200"/>
        <w:rPr>
          <w:rFonts w:ascii="Calibri" w:hAnsi="Calibri"/>
          <w:sz w:val="24"/>
        </w:rPr>
      </w:pPr>
      <w:r>
        <w:rPr>
          <w:rFonts w:ascii="Calibri" w:hAnsi="Calibri"/>
          <w:color w:val="000000" w:themeColor="text1"/>
          <w:sz w:val="24"/>
          <w14:textFill>
            <w14:solidFill>
              <w14:schemeClr w14:val="tx1"/>
            </w14:solidFill>
          </w14:textFill>
        </w:rPr>
        <w:t>7</w:t>
      </w:r>
      <w:r>
        <w:rPr>
          <w:rFonts w:hint="eastAsia" w:ascii="宋体" w:hAnsi="宋体" w:cs="宋体"/>
          <w:color w:val="000000" w:themeColor="text1"/>
          <w:sz w:val="24"/>
          <w14:textFill>
            <w14:solidFill>
              <w14:schemeClr w14:val="tx1"/>
            </w14:solidFill>
          </w14:textFill>
        </w:rPr>
        <w:t>、</w:t>
      </w:r>
      <w:r>
        <w:rPr>
          <w:rFonts w:hint="eastAsia" w:ascii="宋体" w:hAnsi="宋体" w:cs="宋体"/>
          <w:sz w:val="24"/>
        </w:rPr>
        <w:t>所有货物按照参数明细要在电子卖场分别上架（货物无链接不得采购），且价格不得高于政采云成交平均价和合同价格（按照最低价执行），采购人按照需求下单，确保物品质量（有样品的要与样品对比），要先下单后送货。</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第三条  产品缺陷及产品缺陷的处理方式</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乙方应确保其提供的所有产品品质及质量均符合国家强制性执行标准、国家标准或行业标准，鉴于前述，乙方承诺：其向甲方提供之所有产品，其质量保证期均不得低于12个月（自该产品经甲方验收合格并交付使用之日起算），如国家、行业对该产品规定的质量保证期高于12个月的，则以国家、行业对该产品规定的质量保证期限为准；如该产品在质量保证期内发生质量或故障缺陷，则乙方应负责对该产品的质量或故障缺陷予以修复，因此产生的费用由乙方承担，且该产品的质量保证期限自该质量或故障消除后的次日重新开始计算；如该产品在质量保证期内连续或累计出现同一质量或故障缺陷的，则乙方应负责对该产品予以更换，因此产生的费用由乙方承担，且该更换产品的质量保证期限自该产品经甲方验收合格并交付使用后的次日重新开始计算。</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应确保其所供产品是全新的，是用一流的工艺和最佳材料制造而成的正品，并完全符合认购时约定的质量、规格和性能的要求。乙方应确保其所供产品在正确安装、正常使用和保养条件下，在其使用寿命内应符合工艺、性能、使用的标准及要求。</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甲、乙双方约定：乙方所供任一产品经验收合格并交付使用后在前述第1款所约定的质量保证期内，若该产品因设计、工艺或材料方面的缺陷出现无法正常使用、运行故障、不能满足设计或工艺要求、不能达到该产品使用性能等情形的，则由甲方负责修缮或采取其他补救措施，但因此产生的费用由乙方承担。</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乙方所供产品之数量、产地、规格型号、花色、品种与约定不符或缺少产品合格证、检验证书、出厂证、使用说明书、技术及性能标准等文件资料（含文件不齐备的情形）的，甲方有权拒收该产品，乙方应采取更换、弥补、补充等补救措施，因此所产生的费用由乙方承担，并不得因此免除乙方逾期交货的责任。</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5、乙方所供产品经安装验收后或在质量保证期内，如出现下列产品缺陷情形之一的，乙方应负责采取维修、更换、弥补措施，并承担因此所发生的费用：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（1）产品选用材料与约定或设计、工艺要求不符的；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（2）产品不能正常使用或运行的；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（3）产品实际运行状况或性能与双方约定或该产品设计、标注的使用性能、标准不符的；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（4）产品不能满足工艺、设计、约定的功能或要求的；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（5）产品故障率高，月运行率或完好率低于80%的；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（6）产品具有不利于人身安全或财产安全之使用、安全缺陷或隐患的；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（7）产品系国家、行业规定的淘汰或限制使用产品的；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（8）产品运行或使用的能耗标准明显高于其他同类产品的；</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（9）其他甲方确认的产品质量、使用、安全、功能缺陷等（以下简称产品缺陷）情形。</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鉴于前述，甲、乙双方约定：前述（1）至（9）项产品缺陷，甲方有权自行确认或甲方有权委托第三方（中介机构或质量技术、安全监督部门）通过鉴定程序予以确认，乙方对该产品缺陷之确认或鉴定程序及确认或鉴定结论均不持异议；如产品缺陷需通过第三方鉴定确定的，因此所发生的送检样品及检验费用，均由乙方承担。</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6、乙方承诺：因履行所供产品缺陷之品质保证义务（包括并不限于本条前述第1至5款条款所列全部义务），乙方应自收到甲方产品缺陷通知（通知形式包括并不限于书面、电话、电子邮件、传真等）之日起3天内，采取维修、更换、弥补等补救措施来消除产品缺陷，并承担因此所产生的费用；逾期未采取维修、更换、弥补等补救措施或虽采取了维修、更换、弥补等补救措施但仍未能消除产品缺陷的，甲方有权自行采取其他方式予以补救或救济，因此产生的风险、责任及费用均由乙方自行承担。</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第四条  产品缺陷的索赔</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鉴于乙方为甲方所需产品之供货商，甲、乙双方约定：凡因本产品缺陷（包括并不限于产品品质、质量、使用、功能、安全、技术、设计、材质等缺陷，下同）所致之损失（包括直接或间接损失、人身或财产损失，下同），甲方向乙方出具产品缺陷依据（产品缺陷依据甲方有权委托第三方通过鉴定程序来确认，乙方对该产品缺陷鉴定程序及鉴定结论自愿放弃抗辩权）及损失依据，乙方即应向甲方承担先行赔付的责任，乙方向甲方承担赔偿责任后，有权向其他责任方追偿。</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所供产品在检验、验收期内或质保期内，经甲方检验或甲方委托的第三人鉴定后，确认该产品与双方约定的产品品质不符或存在品质缺陷的，甲方有权选择下列途径、方式之一或综合二种以上的途径、方式向乙方索赔，乙方则对甲方索赔的方式自愿放弃抗辩权：</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乙方无条件退货，将该产品的货款返还甲方，乙方并应承担由此发生的一切损失和费用，该损失和费用包括并不限于利息、银行手续费、运费、保险费、检验费、仓储费、装卸费、直接损失和间接损失、人身损失和财产损失、保管费及甲方因实现本权利所发生的其它合理费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（2）如该产品经修复，尚有使用价值的，则根据该产品的可利用程度、实际价值、以及甲方因此所遭受的损失金额，甲方可折价受让该产品，但受让价格由甲方确定；</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如该产品部分缺陷可用新零件、部件或设备来更换缺陷部分，使之达到或具备正常的使用功能，则甲方可允许乙方对该产品的缺陷予以修复，但因此所产生的费用、风险及责任均由乙方自行承担，并该产品缺陷的质量保证期自该产品缺陷消除之日起重新计算。</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3、自甲方向乙方发出索赔通知之日起7天内，乙方未作答复的，即视为乙方接受甲方提出的索赔条件，甲方有权以乙方的货款直接充抵该产品缺陷之索赔款。</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第五条  产品货款结算、支付方式及期限</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就乙方所供产品之货款，甲、乙双方应根据本合同诸条款所约定之内容、供货单、验收单等文件资料每半年就产品货款、违约金、赔偿金等内容结算一次，结算金额以人民币计价，如有结余并乙方向甲方提供正式发票后，则甲方向乙方支付货款的条件成就，在未办理结算及乙方未提供结算发票前，甲方即有权拒付该货款。</w:t>
      </w:r>
    </w:p>
    <w:p>
      <w:pPr>
        <w:topLinePunct/>
        <w:spacing w:line="360" w:lineRule="auto"/>
        <w:ind w:firstLine="482" w:firstLineChars="200"/>
        <w:jc w:val="left"/>
        <w:rPr>
          <w:rFonts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2、甲、乙双方依前款约定的程序办理货物价款结算时，结算清单上应注明品牌、规格、单价、数量等内容，合同到期前从所结算货款中预留1万作为产品质保金，质保期届满后，如产品未出现缺陷故障或质量缺陷，则甲方应将该质保金返还给乙方（本金，不计息）；如产品在质保期内出现缺陷故障或质量缺陷，则该质保金作为违约金，甲方有权不予返还给乙方。</w:t>
      </w:r>
    </w:p>
    <w:p>
      <w:pPr>
        <w:topLinePunct/>
        <w:spacing w:line="360" w:lineRule="auto"/>
        <w:ind w:firstLine="480" w:firstLineChars="200"/>
        <w:jc w:val="left"/>
        <w:rPr>
          <w:rFonts w:ascii="宋体" w:hAnsi="宋体" w:cs="宋体"/>
          <w:sz w:val="24"/>
        </w:rPr>
      </w:pPr>
      <w:r>
        <w:rPr>
          <w:rFonts w:hint="eastAsia" w:ascii="宋体" w:hAnsi="宋体" w:cs="宋体"/>
          <w:sz w:val="24"/>
        </w:rPr>
        <w:t>3、乙方指定的收款帐户为：</w:t>
      </w:r>
    </w:p>
    <w:p>
      <w:pPr>
        <w:spacing w:line="360" w:lineRule="auto"/>
        <w:rPr>
          <w:rFonts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第六条、售后服务要求</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1、所有货物保修期按国家相关规定，如有特殊情况请于标书中注明。保修期起始日期按验收合格日期计算，保修期内应免费上门维修。</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2、供货商应提供维修电话及联系人，用户报修后，须在下一工作日内派人员上门现场维护，并在48小时内解决问题。在规定时间内不能解决问题的设备，应提供相同档次的设备给用户代用。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3、保修期内，同一批产品30天内连续多次出现同一故障，供货商须无条件免费更换相应档次的货物。</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第七条  违约责任</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1、乙方违反本合同或单次、单项送货单所载明的交货期限之约定，逾期交付货物的，则应以该批货物总价款的5%/天为标准，向甲方支付逾期交货违约金。</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违反本合同或单次、单项送货单所载明的产品品种、花色、规则型号、品质之约定，所交产品不符的，甲方有权拒收该批产品，乙方除应承担更换及因此产生的损失和费用的责任外，如因此导致逾期交货的，同样应以该批货物总价款的5%/天为标准，向甲方支付逾期交货违约金。</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乙方违反本合同第三条2款之约定，随机附带的产品文件资料及配品、随机工具不齐的，乙方除应承担补足、补齐的责任外，因此导致逾期交货的，应以该批货物总价款的5%/天为标准，向甲方支付逾期交货违约金。</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产品质保期内，如产品出现质量、缺陷、使用、功能、性能等方面故障的，乙方应自接到甲方的维修、维护通知之时起24小时内到达现场维修，并最迟应于到达现场之时起24小时内维修完毕并排除故障，使之达到正常使用的功能。乙方逾期未能到达现场维修或逾期未能排除故障的，应以500元/时为标准，向甲方支付违约金；甲方并有权另请第三方维修，因此产生的费用及导致的损失均应由乙方承担。</w:t>
      </w:r>
    </w:p>
    <w:p>
      <w:pPr>
        <w:topLinePunct/>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第八条  其他特别约定</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1、就不可抗力事件对本合同履行之影响及补救措施，双方约定如下：</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（1）经双方确认属于不可抗力的事件（即地震、山崩、海啸、泥石流、地陷、战争、骚乱等事件），致影响本合同履行的，履行合同的期限应予以延长，延长的期限应相当于事件所影响的期间；</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 受不可抗力事件影响的一方应在不可抗力事件发生后，即时以传真、电报、电话、电子数据等形式通知另一方，并在事件发生后14天内，将有关部门出具的证明文件用纸质稿送达给另一方。如果不可抗力事件影响期限持续60天以上的，双方应在合理的时限内协商达成变更本合同条款的补充协议。</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对其所供产品或提供的服务，应严格执行国家的三包政策规定，如产品生产商、供应商提供或承诺的质保期期限、产品品质保证的内容或项目与国家、行业规定的三包内容不一致的，则按较优的三包规定来执行。</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3、对复杂、成套设备或产品（具体由甲方界定），应由乙方负责调试、安装，给予甲方的操作人员以技术支持或培训，并承担因此所产生相关费用。</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甲、乙双方约定：守约方因实现本合同权利所发生的律师费、诉讼费、仲裁费、财产保全费、执行费、公证费、公告费、检验费、评估费、鉴定费、拍卖费、交通费、查询费、通讯费、差旅费等，均应由违约方承担。</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5、双方确认的法律文书、资料、函件的送达地址及送达人为：</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（1）甲方：湖南化工职业技术学院后勤处负责人</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（2）乙方： </w:t>
      </w:r>
    </w:p>
    <w:p>
      <w:pPr>
        <w:spacing w:line="360" w:lineRule="auto"/>
        <w:ind w:firstLine="480" w:firstLineChars="200"/>
        <w:rPr>
          <w:rFonts w:ascii="黑体" w:hAnsi="黑体" w:eastAsia="黑体" w:cs="黑体"/>
          <w:b/>
          <w:color w:val="000000"/>
          <w:kern w:val="0"/>
          <w:sz w:val="24"/>
        </w:rPr>
      </w:pPr>
      <w:r>
        <w:rPr>
          <w:rFonts w:hint="eastAsia" w:ascii="宋体" w:hAnsi="宋体" w:cs="宋体"/>
          <w:color w:val="000000" w:themeColor="text1"/>
          <w:sz w:val="24"/>
          <w14:textFill>
            <w14:solidFill>
              <w14:schemeClr w14:val="tx1"/>
            </w14:solidFill>
          </w14:textFill>
        </w:rPr>
        <w:t>任何一方送达地址或送达人发生变更的，应书面通告另一方，否则，相对方依上述双方确认的地址、送达人而送达法律之文书、资料、函件等，均视为送达。</w:t>
      </w:r>
    </w:p>
    <w:p>
      <w:pPr>
        <w:topLinePunct/>
        <w:spacing w:line="360" w:lineRule="auto"/>
        <w:ind w:firstLine="482" w:firstLineChars="200"/>
        <w:jc w:val="left"/>
        <w:rPr>
          <w:rFonts w:ascii="宋体" w:hAnsi="宋体" w:cs="宋体"/>
          <w:b/>
          <w:bCs/>
          <w:sz w:val="24"/>
        </w:rPr>
      </w:pPr>
      <w:r>
        <w:rPr>
          <w:rFonts w:hint="eastAsia" w:ascii="宋体" w:hAnsi="宋体" w:cs="宋体"/>
          <w:b/>
          <w:bCs/>
          <w:sz w:val="24"/>
        </w:rPr>
        <w:t>第九条 投标样品</w:t>
      </w:r>
    </w:p>
    <w:p>
      <w:pPr>
        <w:topLinePunct/>
        <w:spacing w:line="360" w:lineRule="auto"/>
        <w:ind w:firstLine="480" w:firstLineChars="200"/>
        <w:jc w:val="left"/>
        <w:rPr>
          <w:rFonts w:ascii="宋体" w:hAnsi="宋体" w:cs="宋体"/>
          <w:sz w:val="24"/>
        </w:rPr>
      </w:pPr>
      <w:r>
        <w:rPr>
          <w:rFonts w:hint="eastAsia" w:ascii="宋体" w:hAnsi="宋体" w:cs="宋体"/>
          <w:sz w:val="24"/>
        </w:rPr>
        <w:t>1、本项目需提供以下样品：扫把簸箕套装（一套）、编织袋（1个）、全铜锁芯（一个）、不锈钢手提门锁（一个）</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2</w:t>
      </w:r>
      <w:r>
        <w:rPr>
          <w:rFonts w:hint="eastAsia" w:ascii="宋体" w:hAnsi="宋体" w:cs="宋体"/>
          <w:color w:val="000000" w:themeColor="text1"/>
          <w:sz w:val="24"/>
          <w14:textFill>
            <w14:solidFill>
              <w14:schemeClr w14:val="tx1"/>
            </w14:solidFill>
          </w14:textFill>
        </w:rPr>
        <w:t>、样品单独封装</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lang w:val="en-US" w:eastAsia="zh-CN"/>
          <w14:textFill>
            <w14:solidFill>
              <w14:schemeClr w14:val="tx1"/>
            </w14:solidFill>
          </w14:textFill>
        </w:rPr>
        <w:t>每个样品贴上单位标签</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由采购人签收。所有样品必须在投标截止时间前提交，否则，采购人或采购代理机构依法拒收。</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3</w:t>
      </w:r>
      <w:r>
        <w:rPr>
          <w:rFonts w:hint="eastAsia" w:ascii="宋体" w:hAnsi="宋体" w:cs="宋体"/>
          <w:color w:val="000000" w:themeColor="text1"/>
          <w:sz w:val="24"/>
          <w14:textFill>
            <w14:solidFill>
              <w14:schemeClr w14:val="tx1"/>
            </w14:solidFill>
          </w14:textFill>
        </w:rPr>
        <w:t>、中标人的样品将由采购人按规定进行保管、封存，作为履约验收的参考依据之一。若中标人所供货物不对板，采购人有权拒收或退货，并拒绝付款。采购人有权视情节轻重，处以警告、终止合同并追究相应法律责任等处理。</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4</w:t>
      </w:r>
      <w:r>
        <w:rPr>
          <w:rFonts w:hint="eastAsia" w:ascii="宋体" w:hAnsi="宋体" w:cs="宋体"/>
          <w:color w:val="000000" w:themeColor="text1"/>
          <w:sz w:val="24"/>
          <w14:textFill>
            <w14:solidFill>
              <w14:schemeClr w14:val="tx1"/>
            </w14:solidFill>
          </w14:textFill>
        </w:rPr>
        <w:t>、与提供样品有关的一切费用由投标人自理。</w:t>
      </w:r>
    </w:p>
    <w:p>
      <w:pPr>
        <w:topLinePunct/>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5</w:t>
      </w:r>
      <w:r>
        <w:rPr>
          <w:rFonts w:hint="eastAsia" w:ascii="宋体" w:hAnsi="宋体" w:cs="宋体"/>
          <w:color w:val="000000" w:themeColor="text1"/>
          <w:sz w:val="24"/>
          <w14:textFill>
            <w14:solidFill>
              <w14:schemeClr w14:val="tx1"/>
            </w14:solidFill>
          </w14:textFill>
        </w:rPr>
        <w:t>、采购人对投标人所递交样品的破损或质量不负任何责任，未中标的投标人样品招标人于开标活动结束后及时退还，3日内未领走的，采购人有权自行处置。</w:t>
      </w:r>
    </w:p>
    <w:p>
      <w:pPr>
        <w:topLinePunct/>
        <w:spacing w:line="360" w:lineRule="auto"/>
        <w:ind w:firstLine="480" w:firstLineChars="200"/>
        <w:jc w:val="left"/>
        <w:rPr>
          <w:rFonts w:ascii="宋体" w:hAnsi="宋体" w:cs="宋体"/>
          <w:sz w:val="24"/>
        </w:rPr>
      </w:pPr>
    </w:p>
    <w:p>
      <w:pPr>
        <w:rPr>
          <w:rFonts w:ascii="黑体" w:hAnsi="黑体" w:eastAsia="黑体" w:cs="黑体"/>
          <w:b/>
          <w:color w:val="000000"/>
          <w:kern w:val="0"/>
          <w:sz w:val="24"/>
        </w:rPr>
      </w:pPr>
    </w:p>
    <w:p>
      <w:pPr>
        <w:pStyle w:val="2"/>
        <w:rPr>
          <w:rFonts w:ascii="黑体" w:hAnsi="黑体" w:eastAsia="黑体" w:cs="黑体"/>
          <w:b/>
          <w:color w:val="000000"/>
          <w:kern w:val="0"/>
          <w:sz w:val="24"/>
        </w:rPr>
      </w:pPr>
    </w:p>
    <w:p>
      <w:pPr>
        <w:rPr>
          <w:rFonts w:ascii="黑体" w:hAnsi="黑体" w:eastAsia="黑体" w:cs="黑体"/>
          <w:b/>
          <w:color w:val="000000"/>
          <w:kern w:val="0"/>
          <w:sz w:val="24"/>
        </w:rPr>
      </w:pPr>
    </w:p>
    <w:p>
      <w:pPr>
        <w:pStyle w:val="2"/>
        <w:rPr>
          <w:rFonts w:ascii="黑体" w:hAnsi="黑体" w:eastAsia="黑体" w:cs="黑体"/>
          <w:b/>
          <w:color w:val="000000"/>
          <w:kern w:val="0"/>
          <w:sz w:val="24"/>
        </w:rPr>
      </w:pPr>
    </w:p>
    <w:p>
      <w:pPr>
        <w:rPr>
          <w:rFonts w:ascii="黑体" w:hAnsi="黑体" w:eastAsia="黑体" w:cs="黑体"/>
          <w:b/>
          <w:color w:val="000000"/>
          <w:kern w:val="0"/>
          <w:sz w:val="24"/>
        </w:rPr>
      </w:pPr>
    </w:p>
    <w:p>
      <w:pPr>
        <w:pStyle w:val="2"/>
        <w:rPr>
          <w:rFonts w:ascii="黑体" w:hAnsi="黑体" w:eastAsia="黑体" w:cs="黑体"/>
          <w:b/>
          <w:color w:val="000000"/>
          <w:kern w:val="0"/>
          <w:sz w:val="24"/>
        </w:rPr>
      </w:pPr>
    </w:p>
    <w:p>
      <w:pPr>
        <w:rPr>
          <w:rFonts w:ascii="黑体" w:hAnsi="黑体" w:eastAsia="黑体" w:cs="黑体"/>
          <w:b/>
          <w:color w:val="000000"/>
          <w:kern w:val="0"/>
          <w:sz w:val="24"/>
        </w:rPr>
      </w:pPr>
    </w:p>
    <w:p>
      <w:pPr>
        <w:pStyle w:val="2"/>
        <w:rPr>
          <w:rFonts w:ascii="黑体" w:hAnsi="黑体" w:eastAsia="黑体" w:cs="黑体"/>
          <w:b/>
          <w:color w:val="000000"/>
          <w:kern w:val="0"/>
          <w:sz w:val="24"/>
        </w:rPr>
      </w:pPr>
    </w:p>
    <w:p>
      <w:pPr>
        <w:rPr>
          <w:rFonts w:ascii="黑体" w:hAnsi="黑体" w:eastAsia="黑体" w:cs="黑体"/>
          <w:b/>
          <w:color w:val="000000"/>
          <w:kern w:val="0"/>
          <w:sz w:val="24"/>
        </w:rPr>
      </w:pPr>
    </w:p>
    <w:p>
      <w:pPr>
        <w:pStyle w:val="2"/>
        <w:rPr>
          <w:rFonts w:ascii="黑体" w:hAnsi="黑体" w:eastAsia="黑体" w:cs="黑体"/>
          <w:b/>
          <w:color w:val="000000"/>
          <w:kern w:val="0"/>
          <w:sz w:val="24"/>
        </w:rPr>
      </w:pPr>
    </w:p>
    <w:p>
      <w:pPr>
        <w:rPr>
          <w:rFonts w:ascii="黑体" w:hAnsi="黑体" w:eastAsia="黑体" w:cs="黑体"/>
          <w:b/>
          <w:color w:val="000000"/>
          <w:kern w:val="0"/>
          <w:sz w:val="24"/>
        </w:rPr>
      </w:pPr>
    </w:p>
    <w:p>
      <w:pPr>
        <w:pStyle w:val="2"/>
        <w:rPr>
          <w:rFonts w:ascii="黑体" w:hAnsi="黑体" w:eastAsia="黑体" w:cs="黑体"/>
          <w:b/>
          <w:color w:val="000000"/>
          <w:kern w:val="0"/>
          <w:sz w:val="24"/>
        </w:rPr>
      </w:pPr>
    </w:p>
    <w:p>
      <w:pPr>
        <w:rPr>
          <w:rFonts w:ascii="黑体" w:hAnsi="黑体" w:eastAsia="黑体" w:cs="黑体"/>
          <w:b/>
          <w:color w:val="000000"/>
          <w:kern w:val="0"/>
          <w:sz w:val="24"/>
        </w:rPr>
      </w:pPr>
    </w:p>
    <w:p>
      <w:pPr>
        <w:pStyle w:val="2"/>
        <w:rPr>
          <w:rFonts w:ascii="黑体" w:hAnsi="黑体" w:eastAsia="黑体" w:cs="黑体"/>
          <w:b/>
          <w:color w:val="000000"/>
          <w:kern w:val="0"/>
          <w:sz w:val="24"/>
        </w:rPr>
      </w:pPr>
    </w:p>
    <w:p>
      <w:pPr>
        <w:rPr>
          <w:rFonts w:ascii="黑体" w:hAnsi="黑体" w:eastAsia="黑体" w:cs="黑体"/>
          <w:b/>
          <w:color w:val="000000"/>
          <w:kern w:val="0"/>
          <w:sz w:val="24"/>
        </w:rPr>
      </w:pPr>
    </w:p>
    <w:p>
      <w:pPr>
        <w:pStyle w:val="2"/>
        <w:rPr>
          <w:rFonts w:ascii="黑体" w:hAnsi="黑体" w:eastAsia="黑体" w:cs="黑体"/>
          <w:b/>
          <w:color w:val="000000"/>
          <w:kern w:val="0"/>
          <w:sz w:val="24"/>
        </w:rPr>
      </w:pPr>
    </w:p>
    <w:p>
      <w:pPr>
        <w:topLinePunct/>
        <w:spacing w:line="360" w:lineRule="auto"/>
        <w:jc w:val="left"/>
        <w:rPr>
          <w:rFonts w:hint="eastAsia" w:ascii="黑体" w:hAnsi="黑体" w:eastAsia="黑体" w:cs="黑体"/>
          <w:b/>
          <w:color w:val="000000"/>
          <w:kern w:val="0"/>
          <w:sz w:val="24"/>
        </w:rPr>
      </w:pPr>
    </w:p>
    <w:p>
      <w:pPr>
        <w:topLinePunct/>
        <w:spacing w:line="360" w:lineRule="auto"/>
        <w:jc w:val="left"/>
        <w:rPr>
          <w:rFonts w:hint="eastAsia" w:ascii="黑体" w:hAnsi="黑体" w:eastAsia="黑体" w:cs="黑体"/>
          <w:b/>
          <w:color w:val="000000"/>
          <w:kern w:val="0"/>
          <w:sz w:val="24"/>
        </w:rPr>
      </w:pPr>
    </w:p>
    <w:p>
      <w:pPr>
        <w:pStyle w:val="2"/>
        <w:rPr>
          <w:rFonts w:hint="eastAsia" w:ascii="黑体" w:hAnsi="黑体" w:eastAsia="黑体" w:cs="黑体"/>
          <w:b/>
          <w:color w:val="000000"/>
          <w:kern w:val="0"/>
          <w:sz w:val="24"/>
        </w:rPr>
      </w:pPr>
    </w:p>
    <w:p>
      <w:pPr>
        <w:rPr>
          <w:rFonts w:hint="eastAsia" w:ascii="黑体" w:hAnsi="黑体" w:eastAsia="黑体" w:cs="黑体"/>
          <w:b/>
          <w:color w:val="000000"/>
          <w:kern w:val="0"/>
          <w:sz w:val="24"/>
        </w:rPr>
      </w:pPr>
    </w:p>
    <w:p>
      <w:pPr>
        <w:pStyle w:val="2"/>
        <w:rPr>
          <w:rFonts w:hint="eastAsia" w:ascii="黑体" w:hAnsi="黑体" w:eastAsia="黑体" w:cs="黑体"/>
          <w:b/>
          <w:color w:val="000000"/>
          <w:kern w:val="0"/>
          <w:sz w:val="24"/>
        </w:rPr>
      </w:pPr>
    </w:p>
    <w:p>
      <w:pPr>
        <w:rPr>
          <w:rFonts w:hint="eastAsia"/>
        </w:rPr>
      </w:pPr>
      <w:bookmarkStart w:id="15" w:name="_GoBack"/>
      <w:bookmarkEnd w:id="15"/>
    </w:p>
    <w:p>
      <w:pPr>
        <w:topLinePunct/>
        <w:spacing w:line="360" w:lineRule="auto"/>
        <w:jc w:val="left"/>
        <w:rPr>
          <w:rFonts w:ascii="黑体" w:hAnsi="黑体" w:eastAsia="黑体" w:cs="黑体"/>
          <w:b/>
          <w:color w:val="000000"/>
          <w:kern w:val="0"/>
          <w:sz w:val="24"/>
        </w:rPr>
      </w:pPr>
      <w:r>
        <w:rPr>
          <w:rFonts w:hint="eastAsia" w:ascii="黑体" w:hAnsi="黑体" w:eastAsia="黑体" w:cs="黑体"/>
          <w:b/>
          <w:color w:val="000000"/>
          <w:kern w:val="0"/>
          <w:sz w:val="24"/>
        </w:rPr>
        <w:t>附件1</w:t>
      </w:r>
    </w:p>
    <w:p>
      <w:pPr>
        <w:widowControl/>
        <w:spacing w:line="440" w:lineRule="atLeast"/>
        <w:jc w:val="center"/>
        <w:rPr>
          <w:rFonts w:ascii="微软雅黑" w:hAnsi="微软雅黑" w:eastAsia="微软雅黑" w:cs="微软雅黑"/>
          <w:b/>
          <w:color w:val="000000"/>
          <w:kern w:val="0"/>
          <w:sz w:val="28"/>
          <w:szCs w:val="28"/>
        </w:rPr>
      </w:pPr>
      <w:r>
        <w:rPr>
          <w:rFonts w:hint="eastAsia" w:ascii="微软雅黑" w:hAnsi="微软雅黑" w:eastAsia="微软雅黑" w:cs="微软雅黑"/>
          <w:b/>
          <w:color w:val="000000"/>
          <w:kern w:val="0"/>
          <w:sz w:val="28"/>
          <w:szCs w:val="28"/>
        </w:rPr>
        <w:t>湖南化工职业技术学院</w:t>
      </w:r>
    </w:p>
    <w:p>
      <w:pPr>
        <w:widowControl/>
        <w:spacing w:line="440" w:lineRule="atLeast"/>
        <w:jc w:val="center"/>
        <w:rPr>
          <w:rFonts w:ascii="微软雅黑" w:hAnsi="微软雅黑" w:eastAsia="微软雅黑" w:cs="微软雅黑"/>
          <w:b/>
          <w:color w:val="000000"/>
          <w:kern w:val="0"/>
          <w:sz w:val="28"/>
          <w:szCs w:val="28"/>
        </w:rPr>
      </w:pPr>
      <w:r>
        <w:rPr>
          <w:rFonts w:hint="eastAsia" w:ascii="微软雅黑" w:hAnsi="微软雅黑" w:eastAsia="微软雅黑" w:cs="微软雅黑"/>
          <w:b/>
          <w:color w:val="000000"/>
          <w:kern w:val="0"/>
          <w:sz w:val="28"/>
          <w:szCs w:val="28"/>
        </w:rPr>
        <w:t>授权委托书（格式）</w:t>
      </w:r>
    </w:p>
    <w:p>
      <w:pPr>
        <w:widowControl/>
        <w:spacing w:before="156" w:beforeLines="50" w:line="420" w:lineRule="exact"/>
        <w:ind w:firstLine="480" w:firstLineChars="200"/>
        <w:jc w:val="left"/>
        <w:rPr>
          <w:rFonts w:ascii="宋体" w:hAnsi="宋体" w:cs="宋体"/>
          <w:color w:val="000000"/>
          <w:kern w:val="0"/>
          <w:sz w:val="24"/>
        </w:rPr>
      </w:pPr>
      <w:r>
        <w:rPr>
          <w:rFonts w:ascii="宋体" w:hAnsi="宋体" w:cs="宋体"/>
          <w:color w:val="000000"/>
          <w:kern w:val="0"/>
          <w:sz w:val="24"/>
        </w:rPr>
        <w:t>致：湖南</w:t>
      </w:r>
      <w:r>
        <w:rPr>
          <w:rFonts w:hint="eastAsia" w:ascii="宋体" w:hAnsi="宋体" w:cs="宋体"/>
          <w:color w:val="000000"/>
          <w:kern w:val="0"/>
          <w:sz w:val="24"/>
        </w:rPr>
        <w:t>化工职业技术学院</w:t>
      </w:r>
      <w:r>
        <w:rPr>
          <w:rFonts w:ascii="宋体" w:hAnsi="宋体" w:cs="宋体"/>
          <w:color w:val="000000"/>
          <w:kern w:val="0"/>
          <w:sz w:val="24"/>
        </w:rPr>
        <w:t>：</w:t>
      </w:r>
    </w:p>
    <w:p>
      <w:pPr>
        <w:widowControl/>
        <w:spacing w:line="420" w:lineRule="exact"/>
        <w:ind w:left="239" w:leftChars="114" w:firstLine="240" w:firstLineChars="100"/>
        <w:jc w:val="left"/>
        <w:rPr>
          <w:rFonts w:ascii="宋体" w:hAnsi="宋体" w:cs="宋体"/>
          <w:b/>
          <w:bCs/>
          <w:color w:val="000000"/>
          <w:kern w:val="0"/>
          <w:sz w:val="24"/>
        </w:rPr>
      </w:pPr>
      <w:r>
        <w:rPr>
          <w:rFonts w:ascii="宋体" w:hAnsi="宋体" w:cs="宋体"/>
          <w:color w:val="000000"/>
          <w:kern w:val="0"/>
          <w:sz w:val="24"/>
        </w:rPr>
        <w:t>根据</w:t>
      </w:r>
      <w:r>
        <w:rPr>
          <w:rFonts w:hint="eastAsia" w:ascii="宋体" w:hAnsi="宋体" w:cs="宋体"/>
          <w:color w:val="000000"/>
          <w:kern w:val="0"/>
          <w:sz w:val="24"/>
        </w:rPr>
        <w:t>项目</w:t>
      </w:r>
      <w:r>
        <w:rPr>
          <w:rFonts w:ascii="宋体" w:hAnsi="宋体" w:cs="宋体"/>
          <w:color w:val="000000"/>
          <w:kern w:val="0"/>
          <w:sz w:val="24"/>
        </w:rPr>
        <w:t>招标文件的要求</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ascii="宋体" w:hAnsi="宋体" w:cs="宋体"/>
          <w:color w:val="000000"/>
          <w:kern w:val="0"/>
          <w:sz w:val="24"/>
          <w:u w:val="single"/>
        </w:rPr>
        <w:t>（</w:t>
      </w:r>
      <w:r>
        <w:rPr>
          <w:rFonts w:hint="eastAsia" w:ascii="宋体" w:hAnsi="宋体" w:cs="宋体"/>
          <w:color w:val="000000"/>
          <w:kern w:val="0"/>
          <w:sz w:val="24"/>
          <w:u w:val="single"/>
        </w:rPr>
        <w:t>法人代表</w:t>
      </w:r>
      <w:r>
        <w:rPr>
          <w:rFonts w:ascii="宋体" w:hAnsi="宋体" w:cs="宋体"/>
          <w:color w:val="000000"/>
          <w:kern w:val="0"/>
          <w:sz w:val="24"/>
          <w:u w:val="single"/>
        </w:rPr>
        <w:t>全名及</w:t>
      </w:r>
      <w:r>
        <w:rPr>
          <w:rFonts w:hint="eastAsia" w:ascii="宋体" w:hAnsi="宋体" w:cs="宋体"/>
          <w:color w:val="000000"/>
          <w:kern w:val="0"/>
          <w:sz w:val="24"/>
          <w:u w:val="single"/>
        </w:rPr>
        <w:t>职衔；若法人参加则填“法人参加”</w:t>
      </w:r>
      <w:r>
        <w:rPr>
          <w:rFonts w:ascii="宋体" w:hAnsi="宋体" w:cs="宋体"/>
          <w:color w:val="000000"/>
          <w:kern w:val="0"/>
          <w:sz w:val="24"/>
          <w:u w:val="single"/>
        </w:rPr>
        <w:t>）</w:t>
      </w:r>
      <w:r>
        <w:rPr>
          <w:rFonts w:hint="eastAsia" w:ascii="宋体" w:hAnsi="宋体" w:cs="宋体"/>
          <w:color w:val="000000"/>
          <w:kern w:val="0"/>
          <w:sz w:val="24"/>
          <w:u w:val="single"/>
        </w:rPr>
        <w:t xml:space="preserve">   </w:t>
      </w:r>
      <w:r>
        <w:rPr>
          <w:rFonts w:ascii="宋体" w:hAnsi="宋体" w:cs="宋体"/>
          <w:color w:val="000000"/>
          <w:kern w:val="0"/>
          <w:sz w:val="24"/>
        </w:rPr>
        <w:t>经正式授权并以投标人</w:t>
      </w:r>
      <w:r>
        <w:rPr>
          <w:rFonts w:ascii="宋体" w:hAnsi="宋体" w:cs="宋体"/>
          <w:color w:val="000000"/>
          <w:kern w:val="0"/>
          <w:sz w:val="24"/>
          <w:u w:val="single"/>
        </w:rPr>
        <w:t>（投标人</w:t>
      </w:r>
      <w:r>
        <w:rPr>
          <w:rFonts w:hint="eastAsia" w:ascii="宋体" w:hAnsi="宋体" w:cs="宋体"/>
          <w:color w:val="000000"/>
          <w:kern w:val="0"/>
          <w:sz w:val="24"/>
          <w:u w:val="single"/>
        </w:rPr>
        <w:t>单位</w:t>
      </w:r>
      <w:r>
        <w:rPr>
          <w:rFonts w:ascii="宋体" w:hAnsi="宋体" w:cs="宋体"/>
          <w:color w:val="000000"/>
          <w:kern w:val="0"/>
          <w:sz w:val="24"/>
          <w:u w:val="single"/>
        </w:rPr>
        <w:t>名称）</w:t>
      </w:r>
      <w:r>
        <w:rPr>
          <w:rFonts w:hint="eastAsia" w:ascii="宋体" w:hAnsi="宋体" w:cs="宋体"/>
          <w:color w:val="000000"/>
          <w:kern w:val="0"/>
          <w:sz w:val="24"/>
          <w:u w:val="single"/>
        </w:rPr>
        <w:t xml:space="preserve">    </w:t>
      </w:r>
      <w:r>
        <w:rPr>
          <w:rFonts w:ascii="宋体" w:hAnsi="宋体" w:cs="宋体"/>
          <w:color w:val="000000"/>
          <w:kern w:val="0"/>
          <w:sz w:val="24"/>
        </w:rPr>
        <w:t>的名义投标。</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1</w:t>
      </w:r>
      <w:r>
        <w:rPr>
          <w:rFonts w:ascii="宋体" w:hAnsi="宋体" w:cs="宋体"/>
          <w:color w:val="000000"/>
          <w:kern w:val="0"/>
          <w:sz w:val="24"/>
        </w:rPr>
        <w:t>、我们愿遵守招标文件中的各项规定，提供</w:t>
      </w:r>
      <w:r>
        <w:rPr>
          <w:rFonts w:hint="eastAsia" w:ascii="宋体" w:hAnsi="宋体" w:cs="宋体"/>
          <w:color w:val="000000"/>
          <w:kern w:val="0"/>
          <w:sz w:val="24"/>
        </w:rPr>
        <w:t>符合招标人要求的物品及服务</w:t>
      </w:r>
      <w:r>
        <w:rPr>
          <w:rFonts w:ascii="宋体" w:hAnsi="宋体" w:cs="宋体"/>
          <w:color w:val="000000"/>
          <w:kern w:val="0"/>
          <w:sz w:val="24"/>
        </w:rPr>
        <w:t>。</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2</w:t>
      </w:r>
      <w:r>
        <w:rPr>
          <w:rFonts w:ascii="宋体" w:hAnsi="宋体" w:cs="宋体"/>
          <w:color w:val="000000"/>
          <w:kern w:val="0"/>
          <w:sz w:val="24"/>
        </w:rPr>
        <w:t>、同意本投标自投标截止日起</w:t>
      </w:r>
      <w:r>
        <w:rPr>
          <w:rFonts w:hint="eastAsia" w:ascii="宋体" w:hAnsi="宋体"/>
          <w:color w:val="000000"/>
          <w:kern w:val="0"/>
          <w:sz w:val="24"/>
        </w:rPr>
        <w:t>3</w:t>
      </w:r>
      <w:r>
        <w:rPr>
          <w:rFonts w:ascii="宋体" w:hAnsi="宋体" w:cs="宋体"/>
          <w:color w:val="000000"/>
          <w:kern w:val="0"/>
          <w:sz w:val="24"/>
        </w:rPr>
        <w:t>天内有效，如果我们的投标被接受，直至合同生效日，本投标始终有效。</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3</w:t>
      </w:r>
      <w:r>
        <w:rPr>
          <w:rFonts w:ascii="宋体" w:hAnsi="宋体" w:cs="宋体"/>
          <w:color w:val="000000"/>
          <w:kern w:val="0"/>
          <w:sz w:val="24"/>
        </w:rPr>
        <w:t>、我们</w:t>
      </w:r>
      <w:r>
        <w:rPr>
          <w:rFonts w:hint="eastAsia" w:ascii="宋体" w:hAnsi="宋体" w:cs="宋体"/>
          <w:color w:val="000000"/>
          <w:kern w:val="0"/>
          <w:sz w:val="24"/>
        </w:rPr>
        <w:t>已</w:t>
      </w:r>
      <w:r>
        <w:rPr>
          <w:rFonts w:ascii="宋体" w:hAnsi="宋体" w:cs="宋体"/>
          <w:color w:val="000000"/>
          <w:kern w:val="0"/>
          <w:sz w:val="24"/>
        </w:rPr>
        <w:t>详细阅读了全部招标文件及附件。</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4</w:t>
      </w:r>
      <w:r>
        <w:rPr>
          <w:rFonts w:ascii="宋体" w:hAnsi="宋体" w:cs="宋体"/>
          <w:color w:val="000000"/>
          <w:kern w:val="0"/>
          <w:sz w:val="24"/>
        </w:rPr>
        <w:t>、我们同意提供招标人要求的有关投标的其他资料。</w:t>
      </w:r>
    </w:p>
    <w:p>
      <w:pPr>
        <w:widowControl/>
        <w:spacing w:line="420" w:lineRule="exact"/>
        <w:ind w:firstLine="480" w:firstLineChars="200"/>
        <w:jc w:val="left"/>
        <w:rPr>
          <w:rFonts w:ascii="宋体" w:hAnsi="宋体" w:cs="宋体"/>
          <w:color w:val="000000"/>
          <w:kern w:val="0"/>
          <w:sz w:val="24"/>
        </w:rPr>
      </w:pP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授权代表（签字）：</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职</w:t>
      </w:r>
      <w:r>
        <w:rPr>
          <w:rFonts w:ascii="宋体" w:hAnsi="宋体"/>
          <w:color w:val="000000"/>
          <w:kern w:val="0"/>
          <w:sz w:val="24"/>
        </w:rPr>
        <w:t xml:space="preserve">  </w:t>
      </w:r>
      <w:r>
        <w:rPr>
          <w:rFonts w:ascii="宋体" w:hAnsi="宋体" w:cs="宋体"/>
          <w:color w:val="000000"/>
          <w:kern w:val="0"/>
          <w:sz w:val="24"/>
        </w:rPr>
        <w:t>务</w:t>
      </w:r>
      <w:r>
        <w:rPr>
          <w:rFonts w:hint="eastAsia" w:ascii="宋体" w:hAnsi="宋体" w:cs="宋体"/>
          <w:color w:val="000000"/>
          <w:kern w:val="0"/>
          <w:sz w:val="24"/>
        </w:rPr>
        <w:t>：</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375" w:lineRule="atLeast"/>
        <w:jc w:val="left"/>
        <w:rPr>
          <w:rFonts w:ascii="宋体" w:hAnsi="宋体" w:cs="宋体"/>
          <w:bCs/>
          <w:color w:val="000000"/>
          <w:kern w:val="0"/>
          <w:sz w:val="24"/>
        </w:rPr>
      </w:pPr>
      <w:r>
        <w:rPr>
          <w:rFonts w:hint="eastAsia" w:ascii="宋体" w:hAnsi="宋体" w:cs="宋体"/>
          <w:bCs/>
          <w:color w:val="000000"/>
          <w:kern w:val="0"/>
          <w:sz w:val="24"/>
        </w:rPr>
        <w:t>授权代表身份证复印件：</w:t>
      </w:r>
    </w:p>
    <w:tbl>
      <w:tblPr>
        <w:tblStyle w:val="20"/>
        <w:tblW w:w="7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3"/>
        <w:gridCol w:w="3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（身份证正面）</w:t>
            </w:r>
          </w:p>
        </w:tc>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（身份证反面）</w:t>
            </w:r>
          </w:p>
        </w:tc>
      </w:tr>
    </w:tbl>
    <w:p>
      <w:pPr>
        <w:widowControl/>
        <w:spacing w:line="440" w:lineRule="exact"/>
        <w:ind w:firstLine="480" w:firstLineChars="200"/>
        <w:jc w:val="left"/>
        <w:rPr>
          <w:rFonts w:ascii="宋体" w:hAnsi="宋体" w:cs="宋体"/>
          <w:color w:val="000000"/>
          <w:kern w:val="0"/>
          <w:sz w:val="24"/>
        </w:rPr>
      </w:pP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法人代表（签名）：</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375" w:lineRule="atLeast"/>
        <w:jc w:val="left"/>
        <w:rPr>
          <w:rFonts w:ascii="宋体" w:hAnsi="宋体" w:cs="宋体"/>
          <w:bCs/>
          <w:color w:val="000000"/>
          <w:kern w:val="0"/>
          <w:sz w:val="24"/>
        </w:rPr>
      </w:pPr>
      <w:r>
        <w:rPr>
          <w:rFonts w:hint="eastAsia" w:ascii="宋体" w:hAnsi="宋体" w:cs="宋体"/>
          <w:bCs/>
          <w:color w:val="000000"/>
          <w:kern w:val="0"/>
          <w:sz w:val="24"/>
        </w:rPr>
        <w:t>法人身份证复印件：</w:t>
      </w:r>
    </w:p>
    <w:tbl>
      <w:tblPr>
        <w:tblStyle w:val="20"/>
        <w:tblW w:w="7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3"/>
        <w:gridCol w:w="3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（身份证正面）</w:t>
            </w:r>
          </w:p>
        </w:tc>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（身份证反面）</w:t>
            </w:r>
          </w:p>
        </w:tc>
      </w:tr>
    </w:tbl>
    <w:p>
      <w:pPr>
        <w:widowControl/>
        <w:spacing w:line="375" w:lineRule="atLeast"/>
        <w:jc w:val="left"/>
        <w:rPr>
          <w:rFonts w:ascii="宋体" w:hAnsi="宋体" w:cs="宋体"/>
          <w:bCs/>
          <w:color w:val="000000"/>
          <w:kern w:val="0"/>
          <w:sz w:val="22"/>
          <w:szCs w:val="22"/>
        </w:rPr>
      </w:pPr>
      <w:r>
        <w:rPr>
          <w:rFonts w:hint="eastAsia" w:ascii="宋体" w:hAnsi="宋体" w:cs="宋体"/>
          <w:bCs/>
          <w:color w:val="000000"/>
          <w:kern w:val="0"/>
          <w:sz w:val="22"/>
          <w:szCs w:val="22"/>
        </w:rPr>
        <w:t>说明：法人直接参加的授权代表签字项可删除或不填；</w:t>
      </w:r>
    </w:p>
    <w:p>
      <w:pPr>
        <w:widowControl/>
        <w:spacing w:before="124" w:beforeLines="40" w:after="124" w:afterLines="40" w:line="375" w:lineRule="atLeast"/>
        <w:jc w:val="left"/>
        <w:rPr>
          <w:rFonts w:ascii="微软雅黑" w:hAnsi="微软雅黑" w:eastAsia="微软雅黑" w:cs="微软雅黑"/>
          <w:b/>
          <w:color w:val="000000"/>
          <w:kern w:val="0"/>
          <w:sz w:val="24"/>
        </w:rPr>
      </w:pPr>
      <w:r>
        <w:rPr>
          <w:rFonts w:hint="eastAsia" w:ascii="黑体" w:hAnsi="黑体" w:eastAsia="黑体" w:cs="黑体"/>
          <w:b/>
          <w:color w:val="000000"/>
          <w:kern w:val="0"/>
          <w:sz w:val="24"/>
        </w:rPr>
        <w:t>附件2</w:t>
      </w:r>
    </w:p>
    <w:p>
      <w:pPr>
        <w:widowControl/>
        <w:spacing w:before="124" w:beforeLines="40" w:after="124" w:afterLines="40" w:line="375" w:lineRule="atLeast"/>
        <w:jc w:val="center"/>
        <w:rPr>
          <w:rFonts w:ascii="微软雅黑" w:hAnsi="微软雅黑" w:eastAsia="微软雅黑" w:cs="微软雅黑"/>
          <w:color w:val="000000"/>
          <w:kern w:val="0"/>
          <w:sz w:val="28"/>
          <w:szCs w:val="28"/>
        </w:rPr>
      </w:pPr>
      <w:r>
        <w:rPr>
          <w:rFonts w:hint="eastAsia" w:ascii="微软雅黑" w:hAnsi="微软雅黑" w:eastAsia="微软雅黑" w:cs="微软雅黑"/>
          <w:b/>
          <w:color w:val="000000"/>
          <w:kern w:val="0"/>
          <w:sz w:val="28"/>
          <w:szCs w:val="28"/>
        </w:rPr>
        <w:t>服务承诺书（格式）</w:t>
      </w:r>
    </w:p>
    <w:p>
      <w:pPr>
        <w:widowControl/>
        <w:spacing w:line="420" w:lineRule="exact"/>
        <w:ind w:firstLine="480" w:firstLineChars="200"/>
        <w:jc w:val="left"/>
        <w:rPr>
          <w:rFonts w:ascii="宋体" w:hAnsi="宋体" w:cs="宋体"/>
          <w:color w:val="000000"/>
          <w:kern w:val="0"/>
          <w:sz w:val="24"/>
        </w:rPr>
      </w:pPr>
      <w:r>
        <w:rPr>
          <w:rFonts w:ascii="宋体" w:hAnsi="宋体" w:cs="宋体"/>
          <w:color w:val="000000"/>
          <w:kern w:val="0"/>
          <w:sz w:val="24"/>
        </w:rPr>
        <w:t>致：</w:t>
      </w:r>
      <w:bookmarkStart w:id="9" w:name="_Hlk160811117"/>
      <w:r>
        <w:rPr>
          <w:rFonts w:ascii="宋体" w:hAnsi="宋体" w:cs="宋体"/>
          <w:color w:val="000000"/>
          <w:kern w:val="0"/>
          <w:sz w:val="24"/>
        </w:rPr>
        <w:t>湖南</w:t>
      </w:r>
      <w:r>
        <w:rPr>
          <w:rFonts w:hint="eastAsia" w:ascii="宋体" w:hAnsi="宋体" w:cs="宋体"/>
          <w:color w:val="000000"/>
          <w:kern w:val="0"/>
          <w:sz w:val="24"/>
        </w:rPr>
        <w:t>化工职业技术学院</w:t>
      </w:r>
      <w:r>
        <w:rPr>
          <w:rFonts w:ascii="宋体" w:hAnsi="宋体" w:cs="宋体"/>
          <w:color w:val="000000"/>
          <w:kern w:val="0"/>
          <w:sz w:val="24"/>
        </w:rPr>
        <w:t>：</w:t>
      </w:r>
    </w:p>
    <w:bookmarkEnd w:id="9"/>
    <w:p>
      <w:pPr>
        <w:widowControl/>
        <w:spacing w:line="420" w:lineRule="exact"/>
        <w:ind w:firstLine="960" w:firstLineChars="400"/>
        <w:jc w:val="left"/>
        <w:rPr>
          <w:rFonts w:ascii="宋体" w:hAnsi="宋体" w:cs="宋体"/>
          <w:color w:val="000000"/>
          <w:kern w:val="0"/>
          <w:sz w:val="24"/>
        </w:rPr>
      </w:pPr>
      <w:r>
        <w:rPr>
          <w:rFonts w:ascii="宋体" w:hAnsi="宋体" w:cs="宋体"/>
          <w:color w:val="000000"/>
          <w:kern w:val="0"/>
          <w:sz w:val="24"/>
        </w:rPr>
        <w:t>根据你</w:t>
      </w:r>
      <w:r>
        <w:rPr>
          <w:rFonts w:hint="eastAsia" w:ascii="宋体" w:hAnsi="宋体" w:cs="宋体"/>
          <w:color w:val="000000"/>
          <w:kern w:val="0"/>
          <w:sz w:val="24"/>
        </w:rPr>
        <w:t>院</w:t>
      </w:r>
      <w:r>
        <w:rPr>
          <w:rFonts w:ascii="宋体" w:hAnsi="宋体" w:cs="宋体"/>
          <w:color w:val="000000"/>
          <w:kern w:val="0"/>
          <w:sz w:val="24"/>
        </w:rPr>
        <w:t>招标文件中的要求，我们对所投标的</w:t>
      </w:r>
      <w:r>
        <w:rPr>
          <w:rFonts w:hint="eastAsia" w:ascii="宋体" w:hAnsi="宋体" w:cs="宋体"/>
          <w:color w:val="000000"/>
          <w:kern w:val="0"/>
          <w:sz w:val="24"/>
        </w:rPr>
        <w:t>服务项目</w:t>
      </w:r>
      <w:r>
        <w:rPr>
          <w:rFonts w:ascii="宋体" w:hAnsi="宋体" w:cs="宋体"/>
          <w:color w:val="000000"/>
          <w:kern w:val="0"/>
          <w:sz w:val="24"/>
        </w:rPr>
        <w:t>承诺如下服务：</w:t>
      </w:r>
    </w:p>
    <w:p>
      <w:pPr>
        <w:widowControl/>
        <w:spacing w:line="420" w:lineRule="exact"/>
        <w:ind w:firstLine="960" w:firstLineChars="400"/>
        <w:jc w:val="left"/>
        <w:rPr>
          <w:rFonts w:ascii="宋体" w:hAnsi="宋体" w:cs="宋体"/>
          <w:color w:val="000000"/>
          <w:kern w:val="0"/>
          <w:sz w:val="24"/>
        </w:rPr>
      </w:pPr>
      <w:r>
        <w:rPr>
          <w:rFonts w:hint="eastAsia" w:ascii="宋体" w:hAnsi="宋体" w:cs="宋体"/>
          <w:color w:val="000000"/>
          <w:kern w:val="0"/>
          <w:sz w:val="24"/>
        </w:rPr>
        <w:t>1、</w:t>
      </w:r>
    </w:p>
    <w:p>
      <w:pPr>
        <w:widowControl/>
        <w:spacing w:line="420" w:lineRule="exact"/>
        <w:ind w:firstLine="960" w:firstLineChars="400"/>
        <w:jc w:val="left"/>
        <w:rPr>
          <w:rFonts w:ascii="宋体" w:hAnsi="宋体" w:cs="宋体"/>
          <w:color w:val="000000"/>
          <w:kern w:val="0"/>
          <w:sz w:val="24"/>
        </w:rPr>
      </w:pPr>
      <w:r>
        <w:rPr>
          <w:rFonts w:hint="eastAsia" w:ascii="宋体" w:hAnsi="宋体" w:cs="宋体"/>
          <w:color w:val="000000"/>
          <w:kern w:val="0"/>
          <w:sz w:val="24"/>
        </w:rPr>
        <w:t>2、</w:t>
      </w:r>
    </w:p>
    <w:p>
      <w:pPr>
        <w:widowControl/>
        <w:spacing w:line="420" w:lineRule="exact"/>
        <w:ind w:firstLine="960" w:firstLineChars="400"/>
        <w:jc w:val="left"/>
        <w:rPr>
          <w:rFonts w:ascii="宋体" w:hAnsi="宋体" w:cs="宋体"/>
          <w:color w:val="000000"/>
          <w:kern w:val="0"/>
          <w:sz w:val="24"/>
        </w:rPr>
      </w:pPr>
    </w:p>
    <w:p>
      <w:pPr>
        <w:widowControl/>
        <w:spacing w:line="420" w:lineRule="exact"/>
        <w:ind w:firstLine="964" w:firstLineChars="400"/>
        <w:jc w:val="left"/>
        <w:rPr>
          <w:rFonts w:ascii="宋体" w:hAnsi="宋体" w:cs="宋体"/>
          <w:b/>
          <w:bCs/>
          <w:color w:val="000000"/>
          <w:kern w:val="0"/>
          <w:sz w:val="24"/>
        </w:rPr>
      </w:pPr>
      <w:bookmarkStart w:id="10" w:name="_Hlk160811156"/>
      <w:r>
        <w:rPr>
          <w:rFonts w:ascii="宋体" w:hAnsi="宋体" w:cs="宋体"/>
          <w:b/>
          <w:bCs/>
          <w:color w:val="000000"/>
          <w:kern w:val="0"/>
          <w:sz w:val="24"/>
        </w:rPr>
        <w:t>特此承诺</w:t>
      </w:r>
    </w:p>
    <w:p>
      <w:pPr>
        <w:widowControl/>
        <w:spacing w:line="420" w:lineRule="exact"/>
        <w:ind w:firstLine="960" w:firstLineChars="400"/>
        <w:jc w:val="left"/>
        <w:rPr>
          <w:rFonts w:ascii="宋体" w:hAnsi="宋体"/>
          <w:color w:val="000000"/>
          <w:kern w:val="0"/>
          <w:sz w:val="24"/>
        </w:rPr>
      </w:pPr>
      <w:r>
        <w:rPr>
          <w:rFonts w:ascii="宋体" w:hAnsi="宋体" w:cs="宋体"/>
          <w:color w:val="000000"/>
          <w:kern w:val="0"/>
          <w:sz w:val="24"/>
        </w:rPr>
        <w:t>法人代表签字：</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20" w:lineRule="exact"/>
        <w:ind w:firstLine="960" w:firstLineChars="4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ascii="宋体" w:hAnsi="宋体"/>
          <w:color w:val="000000"/>
          <w:kern w:val="0"/>
          <w:sz w:val="24"/>
        </w:rPr>
        <w:t xml:space="preserve"> </w:t>
      </w:r>
    </w:p>
    <w:bookmarkEnd w:id="10"/>
    <w:p>
      <w:pPr>
        <w:adjustRightInd w:val="0"/>
        <w:snapToGrid w:val="0"/>
        <w:spacing w:line="480" w:lineRule="auto"/>
        <w:ind w:right="23" w:rightChars="11" w:firstLine="480" w:firstLineChars="200"/>
        <w:rPr>
          <w:rFonts w:ascii="宋体" w:hAnsi="宋体" w:cs="宋体"/>
          <w:bCs/>
          <w:color w:val="000000"/>
          <w:sz w:val="24"/>
        </w:rPr>
      </w:pPr>
      <w:r>
        <w:rPr>
          <w:rFonts w:hint="eastAsia" w:ascii="宋体" w:hAnsi="宋体" w:cs="宋体"/>
          <w:bCs/>
          <w:color w:val="000000"/>
          <w:kern w:val="0"/>
          <w:sz w:val="24"/>
        </w:rPr>
        <w:t xml:space="preserve">                     </w:t>
      </w: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pPr>
        <w:widowControl/>
        <w:spacing w:line="375" w:lineRule="atLeast"/>
        <w:ind w:firstLine="102" w:firstLineChars="49"/>
        <w:jc w:val="left"/>
        <w:rPr>
          <w:color w:val="000000"/>
        </w:rPr>
      </w:pPr>
    </w:p>
    <w:p>
      <w:pPr>
        <w:widowControl/>
        <w:spacing w:line="375" w:lineRule="atLeast"/>
        <w:ind w:firstLine="137" w:firstLineChars="49"/>
        <w:jc w:val="left"/>
        <w:rPr>
          <w:rFonts w:ascii="黑体" w:hAnsi="黑体" w:eastAsia="黑体" w:cs="黑体"/>
          <w:bCs/>
          <w:color w:val="000000"/>
          <w:kern w:val="0"/>
          <w:sz w:val="28"/>
          <w:szCs w:val="28"/>
        </w:rPr>
      </w:pPr>
    </w:p>
    <w:p>
      <w:pPr>
        <w:widowControl/>
        <w:spacing w:before="124" w:beforeLines="40" w:after="124" w:afterLines="40" w:line="375" w:lineRule="atLeast"/>
        <w:jc w:val="left"/>
        <w:rPr>
          <w:rFonts w:ascii="黑体" w:hAnsi="黑体" w:eastAsia="黑体" w:cs="黑体"/>
          <w:b/>
          <w:color w:val="000000"/>
          <w:kern w:val="0"/>
          <w:sz w:val="24"/>
        </w:rPr>
      </w:pPr>
      <w:r>
        <w:rPr>
          <w:rFonts w:hint="eastAsia" w:ascii="黑体" w:hAnsi="黑体" w:eastAsia="黑体" w:cs="黑体"/>
          <w:b/>
          <w:color w:val="000000"/>
          <w:kern w:val="0"/>
          <w:sz w:val="24"/>
        </w:rPr>
        <w:t>附件3</w:t>
      </w:r>
    </w:p>
    <w:p>
      <w:pPr>
        <w:widowControl/>
        <w:spacing w:before="124" w:beforeLines="40" w:after="124" w:afterLines="40" w:line="375" w:lineRule="atLeast"/>
        <w:jc w:val="center"/>
        <w:rPr>
          <w:rFonts w:ascii="微软雅黑" w:hAnsi="微软雅黑" w:eastAsia="微软雅黑" w:cs="微软雅黑"/>
          <w:b/>
          <w:color w:val="FF0000"/>
          <w:kern w:val="0"/>
          <w:sz w:val="28"/>
          <w:szCs w:val="28"/>
        </w:rPr>
      </w:pPr>
      <w:r>
        <w:rPr>
          <w:rFonts w:hint="eastAsia" w:ascii="微软雅黑" w:hAnsi="微软雅黑" w:eastAsia="微软雅黑" w:cs="微软雅黑"/>
          <w:b/>
          <w:color w:val="000000"/>
          <w:kern w:val="0"/>
          <w:sz w:val="28"/>
          <w:szCs w:val="28"/>
        </w:rPr>
        <w:t>需要提交的资格证明文件</w:t>
      </w:r>
      <w:r>
        <w:rPr>
          <w:rFonts w:hint="eastAsia" w:ascii="微软雅黑" w:hAnsi="微软雅黑" w:eastAsia="微软雅黑" w:cs="微软雅黑"/>
          <w:b/>
          <w:color w:val="FF0000"/>
          <w:kern w:val="0"/>
          <w:sz w:val="28"/>
          <w:szCs w:val="28"/>
        </w:rPr>
        <w:t>（均需要加盖公章）</w:t>
      </w:r>
    </w:p>
    <w:p>
      <w:pPr>
        <w:widowControl/>
        <w:spacing w:before="124" w:beforeLines="40" w:after="124" w:afterLines="40"/>
        <w:jc w:val="center"/>
        <w:rPr>
          <w:rFonts w:ascii="微软雅黑" w:hAnsi="微软雅黑" w:eastAsia="微软雅黑" w:cs="微软雅黑"/>
          <w:bCs/>
          <w:kern w:val="0"/>
          <w:sz w:val="24"/>
        </w:rPr>
      </w:pPr>
      <w:r>
        <w:rPr>
          <w:rFonts w:hint="eastAsia" w:ascii="微软雅黑" w:hAnsi="微软雅黑" w:eastAsia="微软雅黑" w:cs="微软雅黑"/>
          <w:bCs/>
          <w:kern w:val="0"/>
          <w:sz w:val="24"/>
          <w:highlight w:val="green"/>
        </w:rPr>
        <w:t>（除标书内提交的资质证明外，递交响应文件时应同时递交一份资质证明供现场查验）</w:t>
      </w:r>
    </w:p>
    <w:p>
      <w:pPr>
        <w:pStyle w:val="17"/>
        <w:widowControl w:val="0"/>
        <w:adjustRightInd w:val="0"/>
        <w:snapToGrid w:val="0"/>
        <w:spacing w:before="156" w:beforeLines="50" w:beforeAutospacing="0" w:after="0" w:afterAutospacing="0" w:line="360" w:lineRule="auto"/>
        <w:ind w:firstLine="480" w:firstLineChars="200"/>
        <w:rPr>
          <w:rFonts w:cs="宋体"/>
          <w:snapToGrid w:val="0"/>
          <w:color w:val="000000"/>
        </w:rPr>
      </w:pPr>
      <w:r>
        <w:rPr>
          <w:rFonts w:hint="eastAsia" w:cs="宋体"/>
          <w:snapToGrid w:val="0"/>
          <w:color w:val="000000"/>
        </w:rPr>
        <w:t>1、法人提交企业法人营业执照副本(或者法人登记证书)以及组织机构代码证副本复印件及</w:t>
      </w:r>
      <w:r>
        <w:rPr>
          <w:rFonts w:hint="eastAsia" w:cs="宋体"/>
          <w:snapToGrid w:val="0"/>
          <w:color w:val="000000"/>
          <w:highlight w:val="green"/>
        </w:rPr>
        <w:t>参加投标法人授权委托书</w:t>
      </w:r>
      <w:r>
        <w:rPr>
          <w:rFonts w:hint="eastAsia" w:cs="宋体"/>
          <w:snapToGrid w:val="0"/>
          <w:color w:val="000000"/>
        </w:rPr>
        <w:t>；</w:t>
      </w:r>
    </w:p>
    <w:p>
      <w:pPr>
        <w:pStyle w:val="17"/>
        <w:widowControl w:val="0"/>
        <w:adjustRightInd w:val="0"/>
        <w:snapToGrid w:val="0"/>
        <w:spacing w:before="0" w:beforeAutospacing="0" w:after="0" w:afterAutospacing="0" w:line="360" w:lineRule="auto"/>
        <w:ind w:firstLine="480" w:firstLineChars="200"/>
        <w:rPr>
          <w:rFonts w:cs="宋体"/>
          <w:snapToGrid w:val="0"/>
          <w:color w:val="000000"/>
        </w:rPr>
      </w:pPr>
      <w:r>
        <w:rPr>
          <w:rFonts w:hint="eastAsia" w:cs="宋体"/>
          <w:snapToGrid w:val="0"/>
          <w:color w:val="000000"/>
        </w:rPr>
        <w:t>2、供应商具有实行了“三证合一”登记制度改革的新证，视同为持有工商营业执照、组织机构代码证和税务登记证，符合基本资格条件的相关条款；供应商具有实行了“五证合一”登记制度改革的新证，视同持有工商营业执照、组织机构代码证、税务登记证、社会保险登记证和统计登记证，符合基本资格条件的相关条款。供应商如是“三证合一或五证合一”，请自行说明。</w:t>
      </w:r>
    </w:p>
    <w:p>
      <w:pPr>
        <w:pStyle w:val="17"/>
        <w:widowControl w:val="0"/>
        <w:adjustRightInd w:val="0"/>
        <w:snapToGrid w:val="0"/>
        <w:spacing w:before="0" w:beforeAutospacing="0" w:after="0" w:afterAutospacing="0" w:line="360" w:lineRule="auto"/>
        <w:ind w:firstLine="480" w:firstLineChars="200"/>
        <w:rPr>
          <w:rFonts w:cs="宋体"/>
          <w:snapToGrid w:val="0"/>
          <w:color w:val="000000"/>
        </w:rPr>
      </w:pPr>
      <w:r>
        <w:rPr>
          <w:rFonts w:hint="eastAsia" w:cs="宋体"/>
          <w:snapToGrid w:val="0"/>
          <w:color w:val="000000"/>
        </w:rPr>
        <w:t>3、依法缴纳税收和社会保险费的证明材料；</w:t>
      </w:r>
    </w:p>
    <w:p>
      <w:pPr>
        <w:pStyle w:val="17"/>
        <w:widowControl w:val="0"/>
        <w:adjustRightInd w:val="0"/>
        <w:snapToGrid w:val="0"/>
        <w:spacing w:before="0" w:beforeAutospacing="0" w:after="0" w:afterAutospacing="0" w:line="360" w:lineRule="auto"/>
        <w:ind w:firstLine="480" w:firstLineChars="200"/>
        <w:rPr>
          <w:rFonts w:cs="宋体"/>
          <w:bCs/>
          <w:color w:val="000000"/>
        </w:rPr>
      </w:pPr>
      <w:r>
        <w:rPr>
          <w:rFonts w:hint="eastAsia" w:cs="宋体"/>
          <w:bCs/>
          <w:color w:val="000000"/>
        </w:rPr>
        <w:t>4、电子卖场资质证明材料；</w:t>
      </w:r>
    </w:p>
    <w:p>
      <w:pPr>
        <w:pStyle w:val="17"/>
        <w:widowControl w:val="0"/>
        <w:adjustRightInd w:val="0"/>
        <w:snapToGrid w:val="0"/>
        <w:spacing w:before="0" w:beforeAutospacing="0" w:after="0" w:afterAutospacing="0" w:line="360" w:lineRule="auto"/>
        <w:ind w:firstLine="480" w:firstLineChars="200"/>
        <w:rPr>
          <w:bCs/>
          <w:color w:val="000000"/>
          <w:szCs w:val="21"/>
        </w:rPr>
      </w:pPr>
      <w:r>
        <w:rPr>
          <w:rFonts w:hint="eastAsia" w:cs="宋体"/>
          <w:bCs/>
          <w:color w:val="000000"/>
        </w:rPr>
        <w:t>5、资格证明文件复印件须加盖供应商公章。</w:t>
      </w:r>
    </w:p>
    <w:p>
      <w:pPr>
        <w:pStyle w:val="17"/>
        <w:widowControl w:val="0"/>
        <w:adjustRightInd w:val="0"/>
        <w:snapToGrid w:val="0"/>
        <w:spacing w:before="0" w:beforeAutospacing="0" w:after="0" w:afterAutospacing="0" w:line="360" w:lineRule="auto"/>
        <w:ind w:firstLine="480" w:firstLineChars="200"/>
        <w:rPr>
          <w:rFonts w:cs="宋体"/>
          <w:bCs/>
          <w:color w:val="000000"/>
        </w:rPr>
      </w:pPr>
      <w:r>
        <w:rPr>
          <w:rFonts w:hint="eastAsia" w:cs="宋体"/>
          <w:bCs/>
          <w:color w:val="000000"/>
        </w:rPr>
        <w:t>6、特定资格条件证明材料。</w:t>
      </w:r>
    </w:p>
    <w:p>
      <w:pPr>
        <w:pStyle w:val="17"/>
        <w:widowControl w:val="0"/>
        <w:adjustRightInd w:val="0"/>
        <w:snapToGrid w:val="0"/>
        <w:spacing w:before="0" w:beforeAutospacing="0" w:after="0" w:afterAutospacing="0" w:line="360" w:lineRule="auto"/>
        <w:ind w:firstLine="480" w:firstLineChars="200"/>
        <w:rPr>
          <w:rFonts w:cs="宋体"/>
          <w:bCs/>
          <w:color w:val="000000"/>
        </w:rPr>
      </w:pPr>
    </w:p>
    <w:p>
      <w:pPr>
        <w:adjustRightInd w:val="0"/>
        <w:snapToGrid w:val="0"/>
        <w:spacing w:line="360" w:lineRule="auto"/>
        <w:rPr>
          <w:rFonts w:ascii="黑体" w:hAnsi="黑体" w:eastAsia="黑体" w:cs="黑体"/>
          <w:b/>
          <w:color w:val="000000"/>
          <w:sz w:val="24"/>
        </w:rPr>
      </w:pPr>
      <w:r>
        <w:rPr>
          <w:rFonts w:hint="eastAsia" w:ascii="黑体" w:hAnsi="黑体" w:eastAsia="黑体" w:cs="黑体"/>
          <w:b/>
          <w:color w:val="000000"/>
          <w:sz w:val="24"/>
        </w:rPr>
        <w:t>附件4</w:t>
      </w:r>
    </w:p>
    <w:p>
      <w:pPr>
        <w:adjustRightInd w:val="0"/>
        <w:snapToGrid w:val="0"/>
        <w:spacing w:before="156" w:beforeLines="50" w:line="360" w:lineRule="auto"/>
        <w:jc w:val="center"/>
        <w:rPr>
          <w:rFonts w:ascii="微软雅黑" w:hAnsi="微软雅黑" w:eastAsia="微软雅黑" w:cs="微软雅黑"/>
          <w:color w:val="000000"/>
          <w:sz w:val="28"/>
          <w:szCs w:val="28"/>
        </w:rPr>
      </w:pPr>
      <w:r>
        <w:rPr>
          <w:rFonts w:hint="eastAsia" w:ascii="微软雅黑" w:hAnsi="微软雅黑" w:eastAsia="微软雅黑" w:cs="微软雅黑"/>
          <w:b/>
          <w:color w:val="000000"/>
          <w:sz w:val="28"/>
          <w:szCs w:val="28"/>
        </w:rPr>
        <w:t>开标一览表</w:t>
      </w:r>
    </w:p>
    <w:p>
      <w:pPr>
        <w:adjustRightInd w:val="0"/>
        <w:snapToGrid w:val="0"/>
        <w:spacing w:line="420" w:lineRule="exact"/>
        <w:ind w:left="-88" w:leftChars="-42"/>
        <w:rPr>
          <w:rFonts w:ascii="宋体" w:hAnsi="宋体" w:cs="宋体"/>
          <w:color w:val="000000"/>
          <w:sz w:val="24"/>
        </w:rPr>
      </w:pPr>
      <w:r>
        <w:rPr>
          <w:rFonts w:hint="eastAsia" w:ascii="宋体" w:hAnsi="宋体"/>
          <w:color w:val="000000"/>
          <w:szCs w:val="21"/>
        </w:rPr>
        <w:t xml:space="preserve">                                                               金额单位：人民币元</w:t>
      </w:r>
    </w:p>
    <w:tbl>
      <w:tblPr>
        <w:tblStyle w:val="19"/>
        <w:tblW w:w="10132" w:type="dxa"/>
        <w:tblInd w:w="-287" w:type="dxa"/>
        <w:tblLayout w:type="fixed"/>
        <w:tblCellMar>
          <w:top w:w="0" w:type="dxa"/>
          <w:left w:w="108" w:type="dxa"/>
          <w:bottom w:w="0" w:type="dxa"/>
          <w:right w:w="108" w:type="dxa"/>
        </w:tblCellMar>
      </w:tblPr>
      <w:tblGrid>
        <w:gridCol w:w="809"/>
        <w:gridCol w:w="1533"/>
        <w:gridCol w:w="1167"/>
        <w:gridCol w:w="875"/>
        <w:gridCol w:w="1234"/>
        <w:gridCol w:w="1119"/>
        <w:gridCol w:w="668"/>
        <w:gridCol w:w="777"/>
        <w:gridCol w:w="914"/>
        <w:gridCol w:w="1036"/>
      </w:tblGrid>
      <w:tr>
        <w:tblPrEx>
          <w:tblCellMar>
            <w:top w:w="0" w:type="dxa"/>
            <w:left w:w="108" w:type="dxa"/>
            <w:bottom w:w="0" w:type="dxa"/>
            <w:right w:w="108" w:type="dxa"/>
          </w:tblCellMar>
        </w:tblPrEx>
        <w:trPr>
          <w:trHeight w:val="573"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物品名称</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规格型号</w:t>
            </w:r>
          </w:p>
        </w:tc>
        <w:tc>
          <w:tcPr>
            <w:tcW w:w="3228" w:type="dxa"/>
            <w:gridSpan w:val="3"/>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品牌</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单位</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数量</w:t>
            </w:r>
          </w:p>
        </w:tc>
        <w:tc>
          <w:tcPr>
            <w:tcW w:w="914" w:type="dxa"/>
            <w:tcBorders>
              <w:top w:val="single" w:color="auto" w:sz="6" w:space="0"/>
              <w:left w:val="single" w:color="auto" w:sz="6" w:space="0"/>
              <w:bottom w:val="single" w:color="auto" w:sz="6" w:space="0"/>
              <w:right w:val="single" w:color="auto" w:sz="6" w:space="0"/>
            </w:tcBorders>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报价</w:t>
            </w:r>
          </w:p>
        </w:tc>
        <w:tc>
          <w:tcPr>
            <w:tcW w:w="1036" w:type="dxa"/>
            <w:tcBorders>
              <w:top w:val="single" w:color="auto" w:sz="6" w:space="0"/>
              <w:left w:val="single" w:color="auto" w:sz="6" w:space="0"/>
              <w:bottom w:val="single" w:color="auto" w:sz="6" w:space="0"/>
              <w:right w:val="single" w:color="auto" w:sz="6" w:space="0"/>
            </w:tcBorders>
            <w:vAlign w:val="center"/>
          </w:tcPr>
          <w:p>
            <w:pPr>
              <w:spacing w:line="360" w:lineRule="auto"/>
              <w:ind w:left="200" w:hanging="200" w:hangingChars="100"/>
              <w:rPr>
                <w:rFonts w:ascii="宋体" w:hAnsi="宋体"/>
                <w:color w:val="000000" w:themeColor="text1"/>
                <w:szCs w:val="21"/>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优惠率</w:t>
            </w: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弹子挂锁</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25mm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single" w:color="auto" w:sz="6" w:space="0"/>
              <w:right w:val="single" w:color="auto" w:sz="6" w:space="0"/>
            </w:tcBorders>
            <w:vAlign w:val="top"/>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尚美佳</w:t>
            </w:r>
          </w:p>
        </w:tc>
        <w:tc>
          <w:tcPr>
            <w:tcW w:w="1119" w:type="dxa"/>
            <w:tcBorders>
              <w:top w:val="single" w:color="auto" w:sz="6" w:space="0"/>
              <w:left w:val="single" w:color="auto" w:sz="6" w:space="0"/>
              <w:bottom w:val="single" w:color="auto" w:sz="6" w:space="0"/>
              <w:right w:val="single" w:color="auto" w:sz="6" w:space="0"/>
            </w:tcBorders>
            <w:vAlign w:val="top"/>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环盾</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restart"/>
            <w:tcBorders>
              <w:top w:val="single" w:color="auto" w:sz="6" w:space="0"/>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弹子挂锁</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38mm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single" w:color="auto" w:sz="6" w:space="0"/>
              <w:right w:val="single" w:color="auto" w:sz="6" w:space="0"/>
            </w:tcBorders>
            <w:vAlign w:val="top"/>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尚美佳</w:t>
            </w:r>
          </w:p>
        </w:tc>
        <w:tc>
          <w:tcPr>
            <w:tcW w:w="1119" w:type="dxa"/>
            <w:tcBorders>
              <w:top w:val="single" w:color="auto" w:sz="6" w:space="0"/>
              <w:left w:val="single" w:color="auto" w:sz="6" w:space="0"/>
              <w:bottom w:val="single" w:color="auto" w:sz="6" w:space="0"/>
              <w:right w:val="single" w:color="auto" w:sz="6" w:space="0"/>
            </w:tcBorders>
            <w:vAlign w:val="top"/>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环盾</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弹子挂锁</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50mm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single" w:color="auto" w:sz="6" w:space="0"/>
              <w:right w:val="single" w:color="auto" w:sz="6" w:space="0"/>
            </w:tcBorders>
            <w:vAlign w:val="top"/>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尚美佳</w:t>
            </w:r>
          </w:p>
        </w:tc>
        <w:tc>
          <w:tcPr>
            <w:tcW w:w="1119" w:type="dxa"/>
            <w:tcBorders>
              <w:top w:val="single" w:color="auto" w:sz="6" w:space="0"/>
              <w:left w:val="single" w:color="auto" w:sz="6" w:space="0"/>
              <w:bottom w:val="single" w:color="auto" w:sz="6" w:space="0"/>
              <w:right w:val="single" w:color="auto" w:sz="6" w:space="0"/>
            </w:tcBorders>
            <w:vAlign w:val="top"/>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环盾</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不锈钢手提门锁（钥匙8片）</w:t>
            </w:r>
            <w:r>
              <w:rPr>
                <w:rFonts w:hint="eastAsia" w:ascii="宋体" w:hAnsi="宋体" w:cs="宋体"/>
                <w:color w:val="000000"/>
                <w:kern w:val="0"/>
                <w:sz w:val="20"/>
                <w:szCs w:val="20"/>
              </w:rPr>
              <w:t>★</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大50（全铜锁芯）</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固特</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不锈钢手提门锁（钥匙8片）</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小50（全铜锁芯）</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固特</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180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282"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阳台门锁</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30-35</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固特</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实木门锁体</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大50、小50</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永绅</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安强</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400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8</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全铜锁芯（钥匙8片）</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大50</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固特</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个</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9</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全铜锁芯（钥匙8片）</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小50</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固特</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钥玛</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个</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10</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全铜锁芯</w:t>
            </w:r>
            <w:r>
              <w:rPr>
                <w:rFonts w:hint="eastAsia" w:ascii="宋体" w:hAnsi="宋体" w:cs="宋体"/>
                <w:color w:val="000000"/>
                <w:kern w:val="0"/>
                <w:sz w:val="20"/>
                <w:szCs w:val="20"/>
              </w:rPr>
              <w:t>★</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75</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金美意</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德亚龙</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110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11</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全铜锁芯</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90</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安吉</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金点原子</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15</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12</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全铜锁芯</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115</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安吉</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金点原子</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把</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13</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厕所门合页</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120*35</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安吉</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浦恒</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付</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14</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阳台门合页</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100*30</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满冠</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浦恒</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付</w:t>
            </w:r>
          </w:p>
        </w:tc>
        <w:tc>
          <w:tcPr>
            <w:tcW w:w="777"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15</w:t>
            </w:r>
          </w:p>
        </w:tc>
        <w:tc>
          <w:tcPr>
            <w:tcW w:w="1533"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铁插销</w:t>
            </w:r>
          </w:p>
        </w:tc>
        <w:tc>
          <w:tcPr>
            <w:tcW w:w="1167" w:type="dxa"/>
            <w:tcBorders>
              <w:top w:val="single" w:color="auto" w:sz="6" w:space="0"/>
              <w:left w:val="single" w:color="auto" w:sz="6" w:space="0"/>
              <w:bottom w:val="nil"/>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100mm</w:t>
            </w:r>
          </w:p>
        </w:tc>
        <w:tc>
          <w:tcPr>
            <w:tcW w:w="875"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color w:val="000000" w:themeColor="text1"/>
                <w:szCs w:val="21"/>
                <w:lang w:val="en-US" w:eastAsia="zh-CN"/>
                <w14:textFill>
                  <w14:solidFill>
                    <w14:schemeClr w14:val="tx1"/>
                  </w14:solidFill>
                </w14:textFill>
              </w:rPr>
              <w:t>云牛</w:t>
            </w:r>
          </w:p>
        </w:tc>
        <w:tc>
          <w:tcPr>
            <w:tcW w:w="1119" w:type="dxa"/>
            <w:tcBorders>
              <w:top w:val="single" w:color="auto" w:sz="6" w:space="0"/>
              <w:left w:val="single" w:color="auto" w:sz="6" w:space="0"/>
              <w:bottom w:val="nil"/>
              <w:right w:val="single" w:color="auto" w:sz="6" w:space="0"/>
            </w:tcBorders>
            <w:vAlign w:val="center"/>
          </w:tcPr>
          <w:p>
            <w:pPr>
              <w:spacing w:line="380" w:lineRule="exact"/>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浦恒</w:t>
            </w:r>
          </w:p>
        </w:tc>
        <w:tc>
          <w:tcPr>
            <w:tcW w:w="668" w:type="dxa"/>
            <w:tcBorders>
              <w:top w:val="single" w:color="auto" w:sz="6" w:space="0"/>
              <w:left w:val="single" w:color="auto" w:sz="6" w:space="0"/>
              <w:bottom w:val="nil"/>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付</w:t>
            </w:r>
          </w:p>
        </w:tc>
        <w:tc>
          <w:tcPr>
            <w:tcW w:w="777" w:type="dxa"/>
            <w:tcBorders>
              <w:top w:val="single" w:color="auto" w:sz="6" w:space="0"/>
              <w:left w:val="single" w:color="auto" w:sz="6" w:space="0"/>
              <w:bottom w:val="nil"/>
              <w:right w:val="single" w:color="auto" w:sz="6" w:space="0"/>
            </w:tcBorders>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40</w:t>
            </w:r>
          </w:p>
        </w:tc>
        <w:tc>
          <w:tcPr>
            <w:tcW w:w="914" w:type="dxa"/>
            <w:tcBorders>
              <w:top w:val="single" w:color="auto" w:sz="6" w:space="0"/>
              <w:left w:val="single" w:color="auto" w:sz="6" w:space="0"/>
              <w:bottom w:val="nil"/>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16</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铁插销</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150mm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color w:val="000000" w:themeColor="text1"/>
                <w:szCs w:val="21"/>
                <w:lang w:val="en-US" w:eastAsia="zh-CN"/>
                <w14:textFill>
                  <w14:solidFill>
                    <w14:schemeClr w14:val="tx1"/>
                  </w14:solidFill>
                </w14:textFill>
              </w:rPr>
              <w:t>美芯盾</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color w:val="000000" w:themeColor="text1"/>
                <w:szCs w:val="21"/>
                <w:lang w:val="en-US" w:eastAsia="zh-CN"/>
                <w14:textFill>
                  <w14:solidFill>
                    <w14:schemeClr w14:val="tx1"/>
                  </w14:solidFill>
                </w14:textFill>
              </w:rPr>
              <w:t>云牛</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浦恒</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付</w:t>
            </w:r>
          </w:p>
        </w:tc>
        <w:tc>
          <w:tcPr>
            <w:tcW w:w="777"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17</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铝合金窗扣(材质合金铝)</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75mm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百兴</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满冠</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14:textFill>
                  <w14:solidFill>
                    <w14:schemeClr w14:val="tx1"/>
                  </w14:solidFill>
                </w14:textFill>
              </w:rPr>
              <w:t>浦恒</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付</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50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restart"/>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18</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国标自攻螺丝</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3*15mm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color w:val="000000" w:themeColor="text1"/>
                <w:szCs w:val="21"/>
                <w:lang w:val="en-US" w:eastAsia="zh-CN"/>
                <w14:textFill>
                  <w14:solidFill>
                    <w14:schemeClr w14:val="tx1"/>
                  </w14:solidFill>
                </w14:textFill>
              </w:rPr>
              <w:t>飞洋</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eastAsiaTheme="minorEastAsia" w:cstheme="minorBidi"/>
                <w:color w:val="000000" w:themeColor="text1"/>
                <w:szCs w:val="21"/>
                <w:lang w:val="en-US" w:eastAsia="zh-CN"/>
                <w14:textFill>
                  <w14:solidFill>
                    <w14:schemeClr w14:val="tx1"/>
                  </w14:solidFill>
                </w14:textFill>
              </w:rPr>
              <w:t>富申</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80" w:lineRule="exact"/>
              <w:jc w:val="center"/>
              <w:rPr>
                <w:rFonts w:ascii="宋体" w:hAnsi="宋体" w:eastAsiaTheme="minorEastAsia" w:cstheme="minorBidi"/>
                <w:color w:val="000000" w:themeColor="text1"/>
                <w:kern w:val="2"/>
                <w:sz w:val="21"/>
                <w:szCs w:val="21"/>
                <w:lang w:val="en-US" w:eastAsia="zh-CN" w:bidi="ar-SA"/>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汇成丰</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个</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600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19</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国标自攻螺丝</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3*20mm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飞洋</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stheme="minorBidi"/>
                <w:color w:val="000000" w:themeColor="text1"/>
                <w:szCs w:val="21"/>
                <w:lang w:val="en-US" w:eastAsia="zh-CN"/>
                <w14:textFill>
                  <w14:solidFill>
                    <w14:schemeClr w14:val="tx1"/>
                  </w14:solidFill>
                </w14:textFill>
              </w:rPr>
              <w:t>富申</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汇成丰</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个</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600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国标自攻螺丝</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4*30mm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飞洋</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富申</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汇成丰</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个</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600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21</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国标自攻螺丝</w:t>
            </w:r>
          </w:p>
        </w:tc>
        <w:tc>
          <w:tcPr>
            <w:tcW w:w="1167"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eastAsiaTheme="minorEastAsia" w:cstheme="minorBidi"/>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4*40mm</w:t>
            </w:r>
          </w:p>
        </w:tc>
        <w:tc>
          <w:tcPr>
            <w:tcW w:w="875"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飞洋</w:t>
            </w:r>
          </w:p>
        </w:tc>
        <w:tc>
          <w:tcPr>
            <w:tcW w:w="1234"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富申</w:t>
            </w:r>
          </w:p>
        </w:tc>
        <w:tc>
          <w:tcPr>
            <w:tcW w:w="111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宋体" w:cs="Times New Roman"/>
                <w:color w:val="000000" w:themeColor="text1"/>
                <w:kern w:val="2"/>
                <w:sz w:val="21"/>
                <w:szCs w:val="21"/>
                <w:lang w:val="en-US" w:eastAsia="zh-CN" w:bidi="ar-SA"/>
                <w14:textFill>
                  <w14:solidFill>
                    <w14:schemeClr w14:val="tx1"/>
                  </w14:solidFill>
                </w14:textFill>
              </w:rPr>
            </w:pPr>
            <w:r>
              <w:rPr>
                <w:rFonts w:hint="eastAsia" w:ascii="宋体" w:hAnsi="宋体" w:cstheme="minorBidi"/>
                <w:color w:val="000000" w:themeColor="text1"/>
                <w:szCs w:val="21"/>
                <w14:textFill>
                  <w14:solidFill>
                    <w14:schemeClr w14:val="tx1"/>
                  </w14:solidFill>
                </w14:textFill>
              </w:rPr>
              <w:t>汇成丰</w:t>
            </w:r>
          </w:p>
        </w:tc>
        <w:tc>
          <w:tcPr>
            <w:tcW w:w="668"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个</w:t>
            </w:r>
          </w:p>
        </w:tc>
        <w:tc>
          <w:tcPr>
            <w:tcW w:w="777"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600</w:t>
            </w:r>
          </w:p>
        </w:tc>
        <w:tc>
          <w:tcPr>
            <w:tcW w:w="914" w:type="dxa"/>
            <w:tcBorders>
              <w:top w:val="single" w:color="auto" w:sz="6" w:space="0"/>
              <w:left w:val="single" w:color="auto" w:sz="6" w:space="0"/>
              <w:bottom w:val="single" w:color="auto" w:sz="6" w:space="0"/>
              <w:right w:val="single" w:color="auto" w:sz="6" w:space="0"/>
            </w:tcBorders>
          </w:tcPr>
          <w:p>
            <w:pPr>
              <w:spacing w:line="360" w:lineRule="auto"/>
              <w:jc w:val="center"/>
              <w:rPr>
                <w:rFonts w:ascii="宋体" w:hAnsi="宋体"/>
                <w:color w:val="000000" w:themeColor="text1"/>
                <w:szCs w:val="21"/>
                <w14:textFill>
                  <w14:solidFill>
                    <w14:schemeClr w14:val="tx1"/>
                  </w14:solidFill>
                </w14:textFill>
              </w:rPr>
            </w:pPr>
          </w:p>
        </w:tc>
        <w:tc>
          <w:tcPr>
            <w:tcW w:w="1036" w:type="dxa"/>
            <w:vMerge w:val="continue"/>
            <w:tcBorders>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88" w:hRule="atLeast"/>
        </w:trPr>
        <w:tc>
          <w:tcPr>
            <w:tcW w:w="809"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eastAsiaTheme="minorEastAsia"/>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22</w:t>
            </w:r>
          </w:p>
        </w:tc>
        <w:tc>
          <w:tcPr>
            <w:tcW w:w="1533" w:type="dxa"/>
            <w:tcBorders>
              <w:top w:val="single" w:color="auto" w:sz="6" w:space="0"/>
              <w:left w:val="single" w:color="auto" w:sz="6" w:space="0"/>
              <w:bottom w:val="single" w:color="auto" w:sz="6" w:space="0"/>
              <w:right w:val="single" w:color="auto" w:sz="6" w:space="0"/>
            </w:tcBorders>
            <w:vAlign w:val="center"/>
          </w:tcPr>
          <w:p>
            <w:pPr>
              <w:spacing w:line="36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报价汇总/元</w:t>
            </w:r>
          </w:p>
        </w:tc>
        <w:tc>
          <w:tcPr>
            <w:tcW w:w="6754" w:type="dxa"/>
            <w:gridSpan w:val="7"/>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c>
          <w:tcPr>
            <w:tcW w:w="1036" w:type="dxa"/>
            <w:tcBorders>
              <w:top w:val="single" w:color="auto" w:sz="6" w:space="0"/>
              <w:left w:val="single" w:color="auto" w:sz="6" w:space="0"/>
              <w:bottom w:val="single" w:color="auto" w:sz="6" w:space="0"/>
              <w:right w:val="single" w:color="auto" w:sz="6" w:space="0"/>
            </w:tcBorders>
            <w:vAlign w:val="center"/>
          </w:tcPr>
          <w:p>
            <w:pPr>
              <w:spacing w:line="360" w:lineRule="auto"/>
              <w:jc w:val="center"/>
              <w:rPr>
                <w:rFonts w:ascii="宋体" w:hAnsi="宋体"/>
                <w:color w:val="000000" w:themeColor="text1"/>
                <w:szCs w:val="21"/>
                <w14:textFill>
                  <w14:solidFill>
                    <w14:schemeClr w14:val="tx1"/>
                  </w14:solidFill>
                </w14:textFill>
              </w:rPr>
            </w:pPr>
          </w:p>
        </w:tc>
      </w:tr>
    </w:tbl>
    <w:p>
      <w:pPr>
        <w:spacing w:before="60" w:after="80" w:line="360" w:lineRule="auto"/>
        <w:ind w:left="479" w:leftChars="228"/>
        <w:jc w:val="left"/>
        <w:rPr>
          <w:lang w:bidi="ar"/>
        </w:rPr>
      </w:pPr>
      <w:r>
        <w:rPr>
          <w:rFonts w:hint="eastAsia" w:ascii="宋体" w:hAnsi="宋体" w:cs="宋体"/>
          <w:color w:val="FF0000"/>
          <w:sz w:val="24"/>
        </w:rPr>
        <w:t>说明：分项报价为优惠之前的原价。</w:t>
      </w:r>
      <w:r>
        <w:rPr>
          <w:rFonts w:hint="eastAsia" w:ascii="宋体" w:hAnsi="宋体" w:cs="宋体"/>
          <w:color w:val="FF0000"/>
          <w:kern w:val="0"/>
          <w:szCs w:val="21"/>
        </w:rPr>
        <w:t>优惠报价汇总=∑[分项报价×（1-优惠率）]</w:t>
      </w:r>
    </w:p>
    <w:p>
      <w:pPr>
        <w:widowControl/>
        <w:spacing w:line="380" w:lineRule="exact"/>
        <w:jc w:val="left"/>
        <w:rPr>
          <w:rFonts w:ascii="宋体" w:hAnsi="宋体" w:cs="宋体"/>
          <w:color w:val="000000"/>
          <w:sz w:val="24"/>
        </w:rPr>
      </w:pPr>
    </w:p>
    <w:p>
      <w:pPr>
        <w:widowControl/>
        <w:spacing w:line="480" w:lineRule="auto"/>
        <w:ind w:firstLine="480" w:firstLineChars="200"/>
        <w:jc w:val="left"/>
        <w:rPr>
          <w:rFonts w:ascii="宋体" w:hAnsi="宋体" w:cs="宋体"/>
          <w:b/>
          <w:bCs/>
          <w:color w:val="000000"/>
          <w:sz w:val="24"/>
        </w:rPr>
      </w:pPr>
      <w:r>
        <w:rPr>
          <w:rFonts w:hint="eastAsia" w:ascii="宋体" w:hAnsi="宋体" w:cs="宋体"/>
          <w:color w:val="000000"/>
          <w:sz w:val="24"/>
        </w:rPr>
        <w:t>投标人（盖单位公章）：</w:t>
      </w:r>
    </w:p>
    <w:p>
      <w:pPr>
        <w:adjustRightInd w:val="0"/>
        <w:snapToGrid w:val="0"/>
        <w:spacing w:line="480" w:lineRule="auto"/>
        <w:ind w:right="23" w:rightChars="11" w:firstLine="480" w:firstLineChars="200"/>
        <w:rPr>
          <w:rFonts w:ascii="宋体" w:hAnsi="宋体" w:cs="宋体"/>
          <w:color w:val="000000"/>
          <w:sz w:val="24"/>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pPr>
        <w:adjustRightInd w:val="0"/>
        <w:snapToGrid w:val="0"/>
        <w:spacing w:line="480" w:lineRule="auto"/>
        <w:ind w:right="23" w:rightChars="11" w:firstLine="480" w:firstLineChars="200"/>
        <w:rPr>
          <w:rFonts w:ascii="宋体" w:hAnsi="宋体" w:cs="宋体"/>
          <w:bCs/>
          <w:color w:val="000000"/>
          <w:sz w:val="24"/>
        </w:rPr>
      </w:pPr>
      <w:bookmarkStart w:id="11" w:name="_Hlk160817732"/>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bookmarkEnd w:id="11"/>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pStyle w:val="18"/>
        <w:ind w:firstLine="482"/>
        <w:rPr>
          <w:rFonts w:ascii="黑体" w:hAnsi="黑体" w:eastAsia="黑体" w:cs="黑体"/>
          <w:b/>
          <w:color w:val="000000"/>
          <w:sz w:val="24"/>
        </w:rPr>
      </w:pPr>
    </w:p>
    <w:p>
      <w:pPr>
        <w:rPr>
          <w:rFonts w:ascii="黑体" w:hAnsi="黑体" w:eastAsia="黑体" w:cs="黑体"/>
          <w:b/>
          <w:color w:val="000000"/>
          <w:sz w:val="24"/>
        </w:rPr>
      </w:pPr>
    </w:p>
    <w:p>
      <w:pPr>
        <w:pStyle w:val="18"/>
        <w:ind w:firstLine="482"/>
        <w:rPr>
          <w:rFonts w:ascii="黑体" w:hAnsi="黑体" w:eastAsia="黑体" w:cs="黑体"/>
          <w:b/>
          <w:color w:val="000000"/>
          <w:sz w:val="24"/>
        </w:rPr>
      </w:pPr>
    </w:p>
    <w:p>
      <w:pPr>
        <w:rPr>
          <w:rFonts w:ascii="黑体" w:hAnsi="黑体" w:eastAsia="黑体" w:cs="黑体"/>
          <w:b/>
          <w:color w:val="000000"/>
          <w:sz w:val="24"/>
        </w:rPr>
      </w:pPr>
    </w:p>
    <w:p>
      <w:pPr>
        <w:pStyle w:val="18"/>
        <w:ind w:firstLine="482"/>
        <w:rPr>
          <w:rFonts w:ascii="黑体" w:hAnsi="黑体" w:eastAsia="黑体" w:cs="黑体"/>
          <w:b/>
          <w:color w:val="000000"/>
          <w:sz w:val="24"/>
        </w:rPr>
      </w:pPr>
    </w:p>
    <w:p>
      <w:pPr>
        <w:rPr>
          <w:rFonts w:ascii="黑体" w:hAnsi="黑体" w:eastAsia="黑体" w:cs="黑体"/>
          <w:b/>
          <w:color w:val="000000"/>
          <w:sz w:val="24"/>
        </w:rPr>
      </w:pPr>
    </w:p>
    <w:p>
      <w:pPr>
        <w:pStyle w:val="18"/>
        <w:ind w:firstLine="482"/>
        <w:rPr>
          <w:rFonts w:ascii="黑体" w:hAnsi="黑体" w:eastAsia="黑体" w:cs="黑体"/>
          <w:b/>
          <w:color w:val="000000"/>
          <w:sz w:val="24"/>
        </w:rPr>
      </w:pPr>
    </w:p>
    <w:p>
      <w:pPr>
        <w:rPr>
          <w:rFonts w:ascii="黑体" w:hAnsi="黑体" w:eastAsia="黑体" w:cs="黑体"/>
          <w:b/>
          <w:color w:val="000000"/>
          <w:sz w:val="24"/>
        </w:rPr>
      </w:pPr>
    </w:p>
    <w:p>
      <w:pPr>
        <w:pStyle w:val="18"/>
        <w:ind w:firstLine="482"/>
        <w:rPr>
          <w:rFonts w:ascii="黑体" w:hAnsi="黑体" w:eastAsia="黑体" w:cs="黑体"/>
          <w:b/>
          <w:color w:val="000000"/>
          <w:sz w:val="24"/>
        </w:rPr>
      </w:pPr>
    </w:p>
    <w:p>
      <w:pPr>
        <w:rPr>
          <w:rFonts w:ascii="黑体" w:hAnsi="黑体" w:eastAsia="黑体" w:cs="黑体"/>
          <w:b/>
          <w:color w:val="000000"/>
          <w:sz w:val="24"/>
        </w:rPr>
      </w:pPr>
    </w:p>
    <w:p>
      <w:pPr>
        <w:pStyle w:val="18"/>
        <w:ind w:firstLine="482"/>
        <w:rPr>
          <w:rFonts w:ascii="黑体" w:hAnsi="黑体" w:eastAsia="黑体" w:cs="黑体"/>
          <w:b/>
          <w:color w:val="000000"/>
          <w:sz w:val="24"/>
        </w:rPr>
      </w:pPr>
    </w:p>
    <w:p>
      <w:pPr>
        <w:rPr>
          <w:rFonts w:ascii="黑体" w:hAnsi="黑体" w:eastAsia="黑体" w:cs="黑体"/>
          <w:b/>
          <w:color w:val="000000"/>
          <w:sz w:val="24"/>
        </w:rPr>
      </w:pPr>
    </w:p>
    <w:p>
      <w:pPr>
        <w:pStyle w:val="18"/>
        <w:ind w:firstLine="482"/>
        <w:rPr>
          <w:rFonts w:ascii="黑体" w:hAnsi="黑体" w:eastAsia="黑体" w:cs="黑体"/>
          <w:b/>
          <w:color w:val="000000"/>
          <w:sz w:val="24"/>
        </w:rPr>
      </w:pPr>
    </w:p>
    <w:p>
      <w:pPr>
        <w:rPr>
          <w:rFonts w:ascii="黑体" w:hAnsi="黑体" w:eastAsia="黑体" w:cs="黑体"/>
          <w:b/>
          <w:color w:val="000000"/>
          <w:sz w:val="24"/>
        </w:rPr>
      </w:pPr>
    </w:p>
    <w:p>
      <w:pPr>
        <w:pStyle w:val="18"/>
        <w:ind w:firstLine="482"/>
        <w:rPr>
          <w:rFonts w:ascii="黑体" w:hAnsi="黑体" w:eastAsia="黑体" w:cs="黑体"/>
          <w:b/>
          <w:color w:val="000000"/>
          <w:sz w:val="24"/>
        </w:rPr>
      </w:pPr>
    </w:p>
    <w:p>
      <w:pPr>
        <w:rPr>
          <w:rFonts w:ascii="黑体" w:hAnsi="黑体" w:eastAsia="黑体" w:cs="黑体"/>
          <w:b/>
          <w:color w:val="000000"/>
          <w:sz w:val="24"/>
        </w:rPr>
      </w:pPr>
    </w:p>
    <w:p>
      <w:pPr>
        <w:pStyle w:val="18"/>
        <w:ind w:firstLine="482"/>
        <w:rPr>
          <w:rFonts w:ascii="黑体" w:hAnsi="黑体" w:eastAsia="黑体" w:cs="黑体"/>
          <w:b/>
          <w:color w:val="000000"/>
          <w:sz w:val="24"/>
        </w:rPr>
      </w:pPr>
    </w:p>
    <w:p>
      <w:pPr>
        <w:rPr>
          <w:rFonts w:ascii="黑体" w:hAnsi="黑体" w:eastAsia="黑体" w:cs="黑体"/>
          <w:b/>
          <w:color w:val="000000"/>
          <w:sz w:val="24"/>
        </w:rPr>
      </w:pPr>
    </w:p>
    <w:p/>
    <w:p>
      <w:pPr>
        <w:adjustRightInd w:val="0"/>
        <w:snapToGrid w:val="0"/>
        <w:spacing w:before="156" w:beforeLines="50"/>
        <w:jc w:val="center"/>
        <w:rPr>
          <w:rFonts w:ascii="微软雅黑" w:hAnsi="微软雅黑" w:eastAsia="微软雅黑" w:cs="微软雅黑"/>
          <w:b/>
          <w:color w:val="000000"/>
          <w:sz w:val="28"/>
          <w:szCs w:val="28"/>
        </w:rPr>
      </w:pPr>
      <w:r>
        <w:rPr>
          <w:rFonts w:hint="eastAsia" w:ascii="微软雅黑" w:hAnsi="微软雅黑" w:eastAsia="微软雅黑" w:cs="微软雅黑"/>
          <w:b/>
          <w:color w:val="000000"/>
          <w:sz w:val="28"/>
          <w:szCs w:val="28"/>
        </w:rPr>
        <w:t>开标一览表</w:t>
      </w:r>
    </w:p>
    <w:p>
      <w:pPr>
        <w:adjustRightInd w:val="0"/>
        <w:snapToGrid w:val="0"/>
        <w:spacing w:before="156" w:beforeLines="50"/>
        <w:jc w:val="center"/>
        <w:rPr>
          <w:rFonts w:ascii="宋体" w:hAnsi="宋体"/>
          <w:color w:val="000000"/>
          <w:szCs w:val="21"/>
        </w:rPr>
      </w:pPr>
      <w:r>
        <w:rPr>
          <w:rFonts w:hint="eastAsia" w:ascii="微软雅黑" w:hAnsi="微软雅黑" w:eastAsia="微软雅黑" w:cs="微软雅黑"/>
          <w:b/>
          <w:color w:val="000000"/>
          <w:sz w:val="28"/>
          <w:szCs w:val="28"/>
        </w:rPr>
        <w:t xml:space="preserve">                                                                   </w:t>
      </w:r>
      <w:r>
        <w:rPr>
          <w:rFonts w:hint="eastAsia" w:ascii="宋体" w:hAnsi="宋体"/>
          <w:color w:val="000000"/>
          <w:szCs w:val="21"/>
        </w:rPr>
        <w:t xml:space="preserve">  金额单位：人民币元</w:t>
      </w:r>
    </w:p>
    <w:tbl>
      <w:tblPr>
        <w:tblStyle w:val="19"/>
        <w:tblW w:w="10307" w:type="dxa"/>
        <w:tblInd w:w="-366" w:type="dxa"/>
        <w:tblLayout w:type="fixed"/>
        <w:tblCellMar>
          <w:top w:w="0" w:type="dxa"/>
          <w:left w:w="0" w:type="dxa"/>
          <w:bottom w:w="0" w:type="dxa"/>
          <w:right w:w="0" w:type="dxa"/>
        </w:tblCellMar>
      </w:tblPr>
      <w:tblGrid>
        <w:gridCol w:w="497"/>
        <w:gridCol w:w="1732"/>
        <w:gridCol w:w="2004"/>
        <w:gridCol w:w="914"/>
        <w:gridCol w:w="818"/>
        <w:gridCol w:w="845"/>
        <w:gridCol w:w="723"/>
        <w:gridCol w:w="791"/>
        <w:gridCol w:w="995"/>
        <w:gridCol w:w="988"/>
      </w:tblGrid>
      <w:tr>
        <w:tblPrEx>
          <w:tblCellMar>
            <w:top w:w="0" w:type="dxa"/>
            <w:left w:w="0" w:type="dxa"/>
            <w:bottom w:w="0" w:type="dxa"/>
            <w:right w:w="0" w:type="dxa"/>
          </w:tblCellMar>
        </w:tblPrEx>
        <w:trPr>
          <w:trHeight w:val="485"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序号</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物品名称</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规格型号</w:t>
            </w:r>
          </w:p>
        </w:tc>
        <w:tc>
          <w:tcPr>
            <w:tcW w:w="2577"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品牌</w:t>
            </w:r>
          </w:p>
        </w:tc>
        <w:tc>
          <w:tcPr>
            <w:tcW w:w="7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单位</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数量</w:t>
            </w:r>
          </w:p>
        </w:tc>
        <w:tc>
          <w:tcPr>
            <w:tcW w:w="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rPr>
                <w:rFonts w:ascii="宋体" w:hAnsi="宋体" w:cs="宋体"/>
                <w:color w:val="000000" w:themeColor="text1"/>
                <w:kern w:val="0"/>
                <w:sz w:val="20"/>
                <w:szCs w:val="20"/>
                <w14:textFill>
                  <w14:solidFill>
                    <w14:schemeClr w14:val="tx1"/>
                  </w14:solidFill>
                </w14:textFill>
              </w:rPr>
            </w:pPr>
            <w:r>
              <w:rPr>
                <w:rFonts w:hint="eastAsia" w:ascii="宋体" w:hAnsi="宋体" w:cs="宋体"/>
                <w:color w:val="000000" w:themeColor="text1"/>
                <w:kern w:val="0"/>
                <w:sz w:val="20"/>
                <w:szCs w:val="20"/>
                <w14:textFill>
                  <w14:solidFill>
                    <w14:schemeClr w14:val="tx1"/>
                  </w14:solidFill>
                </w14:textFill>
              </w:rPr>
              <w:t>报价</w:t>
            </w:r>
          </w:p>
        </w:tc>
        <w:tc>
          <w:tcPr>
            <w:tcW w:w="98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优惠率</w:t>
            </w: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海棉拖把</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pp/pvA/不锈钢38cm</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好媳妇</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妙雅</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米创</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220</w:t>
            </w:r>
          </w:p>
        </w:tc>
        <w:tc>
          <w:tcPr>
            <w:tcW w:w="995" w:type="dxa"/>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420"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棉布拖把</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纯棉布条手工订制</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自制</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自制</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自制</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500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420"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抹布</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35x75纳米磨毛</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szCs w:val="21"/>
                <w:lang w:eastAsia="zh-CN"/>
              </w:rPr>
              <w:t>棉嘉棉</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棉之情</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红日</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条</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600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4</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编织袋</w:t>
            </w:r>
            <w:r>
              <w:rPr>
                <w:rFonts w:hint="eastAsia" w:ascii="宋体" w:hAnsi="宋体" w:cs="宋体"/>
                <w:color w:val="000000"/>
                <w:kern w:val="0"/>
                <w:sz w:val="20"/>
                <w:szCs w:val="20"/>
              </w:rPr>
              <w:t>★</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80㎝涂塑材料制防水帆布</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象肚</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炫亮</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优芬</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260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5</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背心式塑料垃圾袋</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35*56*3丝，材质PE-HD</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吉祥如意</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金悦</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洁乐惠</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1000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6</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扫把簸箕套装</w:t>
            </w:r>
            <w:r>
              <w:rPr>
                <w:rFonts w:hint="eastAsia" w:ascii="宋体" w:hAnsi="宋体" w:cs="宋体"/>
                <w:color w:val="000000"/>
                <w:kern w:val="0"/>
                <w:sz w:val="20"/>
                <w:szCs w:val="20"/>
              </w:rPr>
              <w:t>★</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PP十PET十钢管</w:t>
            </w:r>
          </w:p>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常规</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得翔</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米创</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2"/>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lang w:val="en-US" w:eastAsia="zh-CN"/>
              </w:rPr>
              <w:t>喜跃</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套</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200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7</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带轮大垃圾桶</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260L, 材质HDPE</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章发</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景泰</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lang w:eastAsia="zh-CN"/>
              </w:rPr>
              <w:t>丽天</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100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8</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带轮大垃圾桶</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140L,50*56*78cm,HDPE</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章发</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景泰</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lang w:eastAsia="zh-CN"/>
              </w:rPr>
              <w:t>丽天</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100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9</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脚踏式双桶垃圾桶</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20L*2,43*30*48，材质HD-PE</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章发</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景泰</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lang w:eastAsia="zh-CN"/>
              </w:rPr>
              <w:t>凯迪</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150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小垃圾桶</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280×210×290，pp材质</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嘉乐惠</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品彩</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嘉宇</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250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11</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小垃圾篓</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280×210×290，pp材质</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嘉乐惠</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家和</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嘉宇</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260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12</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镂空特厚防滑脚垫</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15*1.2m PVC材质</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凯琳</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三G</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华亿</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米</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20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1010"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13</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两分类不锈钢双桶垃圾箱</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100*36*98,304不锈钢材质</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章发</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景泰</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迈创</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80</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82"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14</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免漆生态板</w:t>
            </w:r>
          </w:p>
        </w:tc>
        <w:tc>
          <w:tcPr>
            <w:tcW w:w="2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left"/>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1.22*2.44、E。环保生态板</w:t>
            </w:r>
          </w:p>
        </w:tc>
        <w:tc>
          <w:tcPr>
            <w:tcW w:w="91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大丰</w:t>
            </w:r>
          </w:p>
        </w:tc>
        <w:tc>
          <w:tcPr>
            <w:tcW w:w="8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lang w:eastAsia="zh-CN"/>
                <w14:textFill>
                  <w14:solidFill>
                    <w14:schemeClr w14:val="tx1"/>
                  </w14:solidFill>
                </w14:textFill>
              </w:rPr>
              <w:t>万象</w:t>
            </w:r>
          </w:p>
        </w:tc>
        <w:tc>
          <w:tcPr>
            <w:tcW w:w="8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hint="eastAsia" w:ascii="宋体" w:hAnsi="宋体" w:eastAsia="宋体" w:cs="宋体"/>
                <w:color w:val="000000" w:themeColor="text1"/>
                <w:kern w:val="0"/>
                <w:sz w:val="21"/>
                <w:szCs w:val="21"/>
                <w:lang w:val="en-US" w:eastAsia="zh-CN" w:bidi="ar-SA"/>
                <w14:textFill>
                  <w14:solidFill>
                    <w14:schemeClr w14:val="tx1"/>
                  </w14:solidFill>
                </w14:textFill>
              </w:rPr>
            </w:pPr>
            <w:r>
              <w:rPr>
                <w:rFonts w:hint="eastAsia" w:ascii="宋体" w:hAnsi="宋体" w:cs="宋体"/>
                <w:color w:val="000000" w:themeColor="text1"/>
                <w:kern w:val="0"/>
                <w:szCs w:val="21"/>
                <w:lang w:eastAsia="zh-CN"/>
                <w14:textFill>
                  <w14:solidFill>
                    <w14:schemeClr w14:val="tx1"/>
                  </w14:solidFill>
                </w14:textFill>
              </w:rPr>
              <w:t>兔宝宝</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块</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5</w:t>
            </w:r>
          </w:p>
        </w:tc>
        <w:tc>
          <w:tcPr>
            <w:tcW w:w="995" w:type="dxa"/>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693" w:hRule="atLeast"/>
        </w:trPr>
        <w:tc>
          <w:tcPr>
            <w:tcW w:w="4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15</w:t>
            </w:r>
          </w:p>
        </w:tc>
        <w:tc>
          <w:tcPr>
            <w:tcW w:w="17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优惠后报价汇总/元</w:t>
            </w:r>
          </w:p>
        </w:tc>
        <w:tc>
          <w:tcPr>
            <w:tcW w:w="7090" w:type="dxa"/>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c>
          <w:tcPr>
            <w:tcW w:w="98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themeColor="text1"/>
                <w:szCs w:val="21"/>
                <w14:textFill>
                  <w14:solidFill>
                    <w14:schemeClr w14:val="tx1"/>
                  </w14:solidFill>
                </w14:textFill>
              </w:rPr>
            </w:pPr>
          </w:p>
        </w:tc>
      </w:tr>
    </w:tbl>
    <w:p>
      <w:pPr>
        <w:spacing w:before="60" w:after="80"/>
        <w:ind w:left="479" w:leftChars="228"/>
        <w:jc w:val="left"/>
        <w:rPr>
          <w:lang w:bidi="ar"/>
        </w:rPr>
      </w:pPr>
      <w:r>
        <w:rPr>
          <w:rFonts w:hint="eastAsia" w:ascii="宋体" w:hAnsi="宋体" w:cs="宋体"/>
          <w:color w:val="FF0000"/>
          <w:sz w:val="24"/>
        </w:rPr>
        <w:t>说明：分项报价为优惠之前的原价。</w:t>
      </w:r>
      <w:r>
        <w:rPr>
          <w:rFonts w:hint="eastAsia" w:ascii="宋体" w:hAnsi="宋体" w:cs="宋体"/>
          <w:color w:val="FF0000"/>
          <w:kern w:val="0"/>
          <w:szCs w:val="21"/>
        </w:rPr>
        <w:t>优惠报价汇总=∑[分项报价×（1-优惠率）]</w:t>
      </w:r>
    </w:p>
    <w:p>
      <w:pPr>
        <w:widowControl/>
        <w:spacing w:line="480" w:lineRule="auto"/>
        <w:ind w:firstLine="480" w:firstLineChars="200"/>
        <w:jc w:val="left"/>
        <w:rPr>
          <w:rFonts w:ascii="宋体" w:hAnsi="宋体" w:cs="宋体"/>
          <w:b/>
          <w:bCs/>
          <w:color w:val="000000"/>
          <w:sz w:val="24"/>
        </w:rPr>
      </w:pPr>
      <w:r>
        <w:rPr>
          <w:rFonts w:hint="eastAsia" w:ascii="宋体" w:hAnsi="宋体" w:cs="宋体"/>
          <w:color w:val="000000"/>
          <w:sz w:val="24"/>
        </w:rPr>
        <w:t>投标人（盖单位公章）：</w:t>
      </w:r>
    </w:p>
    <w:p>
      <w:pPr>
        <w:adjustRightInd w:val="0"/>
        <w:snapToGrid w:val="0"/>
        <w:spacing w:line="480" w:lineRule="auto"/>
        <w:ind w:right="23" w:rightChars="11" w:firstLine="480" w:firstLineChars="200"/>
        <w:rPr>
          <w:rFonts w:ascii="宋体" w:hAnsi="宋体" w:cs="宋体"/>
          <w:color w:val="000000"/>
          <w:sz w:val="24"/>
          <w:u w:val="single"/>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pPr>
        <w:adjustRightInd w:val="0"/>
        <w:snapToGrid w:val="0"/>
        <w:spacing w:line="480" w:lineRule="auto"/>
        <w:ind w:right="23" w:rightChars="11" w:firstLine="480" w:firstLineChars="200"/>
        <w:rPr>
          <w:rFonts w:ascii="黑体" w:hAnsi="黑体" w:eastAsia="黑体" w:cs="黑体"/>
          <w:b/>
          <w:color w:val="000000"/>
          <w:sz w:val="24"/>
        </w:rPr>
      </w:pP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pPr>
        <w:adjustRightInd w:val="0"/>
        <w:snapToGrid w:val="0"/>
        <w:spacing w:line="360" w:lineRule="auto"/>
        <w:rPr>
          <w:rFonts w:ascii="黑体" w:hAnsi="黑体" w:eastAsia="黑体" w:cs="黑体"/>
          <w:b/>
          <w:color w:val="000000"/>
          <w:sz w:val="24"/>
        </w:rPr>
      </w:pPr>
      <w:r>
        <w:rPr>
          <w:rFonts w:hint="eastAsia" w:ascii="黑体" w:hAnsi="黑体" w:eastAsia="黑体" w:cs="黑体"/>
          <w:b/>
          <w:color w:val="000000"/>
          <w:sz w:val="24"/>
        </w:rPr>
        <w:t>附件5</w:t>
      </w:r>
    </w:p>
    <w:p>
      <w:pPr>
        <w:adjustRightInd w:val="0"/>
        <w:snapToGrid w:val="0"/>
        <w:spacing w:before="156" w:beforeLines="50" w:line="360" w:lineRule="auto"/>
        <w:jc w:val="center"/>
        <w:rPr>
          <w:rFonts w:ascii="微软雅黑" w:hAnsi="微软雅黑" w:eastAsia="微软雅黑" w:cs="微软雅黑"/>
          <w:color w:val="000000"/>
          <w:sz w:val="28"/>
          <w:szCs w:val="28"/>
        </w:rPr>
      </w:pPr>
      <w:r>
        <w:rPr>
          <w:rFonts w:hint="eastAsia" w:ascii="微软雅黑" w:hAnsi="微软雅黑" w:eastAsia="微软雅黑" w:cs="微软雅黑"/>
          <w:b/>
          <w:color w:val="000000"/>
          <w:sz w:val="28"/>
          <w:szCs w:val="28"/>
        </w:rPr>
        <w:t>服务方案</w:t>
      </w:r>
    </w:p>
    <w:p>
      <w:pPr>
        <w:adjustRightInd w:val="0"/>
        <w:snapToGrid w:val="0"/>
        <w:jc w:val="center"/>
        <w:rPr>
          <w:rFonts w:ascii="宋体" w:hAnsi="宋体" w:cs="宋体"/>
          <w:b/>
          <w:sz w:val="30"/>
          <w:szCs w:val="30"/>
        </w:rPr>
      </w:pPr>
      <w:r>
        <w:rPr>
          <w:rFonts w:hint="eastAsia" w:ascii="宋体" w:hAnsi="宋体" w:cs="宋体"/>
          <w:b/>
          <w:sz w:val="30"/>
          <w:szCs w:val="30"/>
        </w:rPr>
        <w:t>服务方案说明</w:t>
      </w:r>
    </w:p>
    <w:p>
      <w:pPr>
        <w:adjustRightInd w:val="0"/>
        <w:snapToGrid w:val="0"/>
        <w:rPr>
          <w:rFonts w:ascii="宋体" w:hAnsi="宋体" w:cs="宋体"/>
          <w:szCs w:val="21"/>
        </w:rPr>
      </w:pP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4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42" w:hRule="atLeast"/>
          <w:jc w:val="center"/>
        </w:trPr>
        <w:tc>
          <w:tcPr>
            <w:tcW w:w="8494" w:type="dxa"/>
          </w:tcPr>
          <w:p>
            <w:pPr>
              <w:spacing w:line="520" w:lineRule="exact"/>
              <w:ind w:firstLine="481"/>
              <w:jc w:val="center"/>
              <w:rPr>
                <w:rFonts w:ascii="宋体" w:hAnsi="宋体" w:cs="宋体"/>
                <w:szCs w:val="21"/>
              </w:rPr>
            </w:pPr>
            <w:r>
              <w:rPr>
                <w:rFonts w:hint="eastAsia" w:ascii="宋体" w:hAnsi="宋体" w:cs="宋体"/>
                <w:szCs w:val="21"/>
              </w:rPr>
              <w:t>格式自拟。</w:t>
            </w:r>
          </w:p>
          <w:p>
            <w:pPr>
              <w:spacing w:line="520" w:lineRule="exact"/>
              <w:ind w:firstLine="480"/>
              <w:rPr>
                <w:rFonts w:ascii="宋体" w:hAnsi="宋体" w:cs="宋体"/>
                <w:szCs w:val="21"/>
              </w:rPr>
            </w:pPr>
          </w:p>
        </w:tc>
      </w:tr>
    </w:tbl>
    <w:p>
      <w:pPr>
        <w:adjustRightInd w:val="0"/>
        <w:snapToGrid w:val="0"/>
        <w:spacing w:line="360" w:lineRule="auto"/>
        <w:ind w:firstLine="420" w:firstLineChars="200"/>
        <w:rPr>
          <w:rFonts w:ascii="宋体" w:hAnsi="宋体"/>
          <w:bCs/>
          <w:color w:val="000000"/>
          <w:szCs w:val="21"/>
        </w:rPr>
      </w:pPr>
      <w:r>
        <w:rPr>
          <w:rFonts w:hint="eastAsia" w:ascii="宋体" w:hAnsi="宋体"/>
          <w:szCs w:val="21"/>
        </w:rPr>
        <w:t>各投标人根据采购人的需求和项目具体内容并结合评分要求及自身情况制定服务方案。</w:t>
      </w:r>
      <w:r>
        <w:rPr>
          <w:rFonts w:hint="eastAsia" w:ascii="宋体" w:hAnsi="宋体"/>
          <w:color w:val="000000"/>
          <w:szCs w:val="21"/>
        </w:rPr>
        <w:t xml:space="preserve">                     </w:t>
      </w: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ind w:right="23" w:rightChars="11"/>
        <w:rPr>
          <w:rFonts w:ascii="宋体" w:hAnsi="宋体" w:cs="宋体"/>
          <w:color w:val="000000"/>
        </w:rPr>
      </w:pPr>
    </w:p>
    <w:p>
      <w:pPr>
        <w:adjustRightInd w:val="0"/>
        <w:snapToGrid w:val="0"/>
        <w:spacing w:line="360" w:lineRule="auto"/>
        <w:ind w:right="23" w:rightChars="11" w:firstLine="480" w:firstLineChars="200"/>
        <w:rPr>
          <w:rFonts w:ascii="宋体" w:hAnsi="宋体" w:cs="宋体"/>
          <w:color w:val="000000"/>
          <w:sz w:val="24"/>
        </w:rPr>
      </w:pPr>
      <w:r>
        <w:rPr>
          <w:rFonts w:hint="eastAsia" w:ascii="宋体" w:hAnsi="宋体" w:cs="宋体"/>
          <w:color w:val="000000"/>
          <w:sz w:val="24"/>
        </w:rPr>
        <w:t>投标人（盖单位公章）：</w:t>
      </w:r>
    </w:p>
    <w:p>
      <w:pPr>
        <w:adjustRightInd w:val="0"/>
        <w:snapToGrid w:val="0"/>
        <w:spacing w:line="360" w:lineRule="auto"/>
        <w:ind w:right="23" w:rightChars="11" w:firstLine="480" w:firstLineChars="200"/>
        <w:rPr>
          <w:rFonts w:ascii="宋体" w:hAnsi="宋体" w:cs="宋体"/>
          <w:color w:val="000000"/>
          <w:sz w:val="24"/>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pPr>
        <w:adjustRightInd w:val="0"/>
        <w:snapToGrid w:val="0"/>
        <w:spacing w:line="360" w:lineRule="auto"/>
        <w:ind w:right="23" w:rightChars="11" w:firstLine="480" w:firstLineChars="200"/>
        <w:rPr>
          <w:rFonts w:ascii="宋体" w:hAnsi="宋体" w:cs="宋体"/>
          <w:bCs/>
          <w:color w:val="000000"/>
          <w:sz w:val="24"/>
        </w:rPr>
      </w:pP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pStyle w:val="18"/>
        <w:tabs>
          <w:tab w:val="left" w:pos="3420"/>
        </w:tabs>
        <w:rPr>
          <w:rFonts w:ascii="宋体" w:hAnsi="宋体"/>
          <w:bCs/>
          <w:szCs w:val="21"/>
        </w:rPr>
      </w:pPr>
    </w:p>
    <w:p>
      <w:pPr>
        <w:pStyle w:val="6"/>
        <w:rPr>
          <w:rFonts w:ascii="宋体" w:hAnsi="宋体"/>
          <w:bCs/>
          <w:color w:val="000000"/>
          <w:szCs w:val="21"/>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宋体" w:hAnsi="宋体" w:cs="宋体"/>
          <w:b/>
          <w:bCs/>
          <w:sz w:val="28"/>
          <w:szCs w:val="28"/>
        </w:rPr>
      </w:pPr>
      <w:r>
        <w:rPr>
          <w:rFonts w:hint="eastAsia" w:ascii="黑体" w:hAnsi="黑体" w:eastAsia="黑体" w:cs="黑体"/>
          <w:b/>
          <w:color w:val="000000"/>
          <w:sz w:val="24"/>
        </w:rPr>
        <w:t>附件6 比选投标单位基本情况</w:t>
      </w:r>
    </w:p>
    <w:tbl>
      <w:tblPr>
        <w:tblStyle w:val="19"/>
        <w:tblW w:w="0" w:type="auto"/>
        <w:tblInd w:w="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6" w:hRule="atLeast"/>
        </w:trPr>
        <w:tc>
          <w:tcPr>
            <w:tcW w:w="9137" w:type="dxa"/>
          </w:tcPr>
          <w:p>
            <w:pPr>
              <w:spacing w:line="360" w:lineRule="auto"/>
              <w:ind w:firstLine="640" w:firstLineChars="200"/>
              <w:rPr>
                <w:rFonts w:ascii="仿宋_GB2312" w:eastAsia="仿宋_GB2312"/>
                <w:sz w:val="32"/>
                <w:szCs w:val="32"/>
              </w:rPr>
            </w:pPr>
          </w:p>
        </w:tc>
      </w:tr>
    </w:tbl>
    <w:p>
      <w:pPr>
        <w:spacing w:line="360" w:lineRule="auto"/>
        <w:ind w:firstLine="640" w:firstLineChars="200"/>
        <w:rPr>
          <w:rFonts w:ascii="仿宋_GB2312" w:eastAsia="仿宋_GB2312"/>
          <w:sz w:val="32"/>
          <w:szCs w:val="32"/>
        </w:rPr>
      </w:pPr>
    </w:p>
    <w:p>
      <w:pPr>
        <w:spacing w:line="360" w:lineRule="auto"/>
        <w:ind w:firstLine="480" w:firstLineChars="200"/>
        <w:rPr>
          <w:rFonts w:ascii="宋体" w:hAnsi="宋体" w:cs="宋体"/>
          <w:sz w:val="24"/>
        </w:rPr>
      </w:pPr>
      <w:r>
        <w:rPr>
          <w:rFonts w:hint="eastAsia" w:ascii="宋体" w:hAnsi="宋体" w:cs="宋体"/>
          <w:sz w:val="24"/>
        </w:rPr>
        <w:t>比选投标单位法定代表人或被授权人（签字）：</w:t>
      </w:r>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r>
        <w:rPr>
          <w:rFonts w:hint="eastAsia" w:ascii="宋体" w:hAnsi="宋体" w:cs="宋体"/>
          <w:sz w:val="24"/>
        </w:rPr>
        <w:t>比选投标单位（盖章）：</w:t>
      </w:r>
    </w:p>
    <w:p>
      <w:pPr>
        <w:spacing w:line="360" w:lineRule="auto"/>
        <w:ind w:firstLine="480" w:firstLineChars="200"/>
        <w:rPr>
          <w:rFonts w:ascii="宋体" w:hAnsi="宋体" w:cs="宋体"/>
          <w:sz w:val="24"/>
        </w:rPr>
      </w:pPr>
      <w:r>
        <w:rPr>
          <w:rFonts w:hint="eastAsia" w:ascii="宋体" w:hAnsi="宋体" w:cs="宋体"/>
          <w:sz w:val="24"/>
        </w:rPr>
        <w:t xml:space="preserve">                                      年    月    日</w:t>
      </w:r>
    </w:p>
    <w:p>
      <w:pPr>
        <w:spacing w:line="360" w:lineRule="auto"/>
        <w:ind w:firstLine="480" w:firstLineChars="200"/>
        <w:rPr>
          <w:rFonts w:ascii="仿宋_GB2312" w:eastAsia="仿宋_GB2312"/>
          <w:sz w:val="24"/>
        </w:rPr>
      </w:pPr>
    </w:p>
    <w:p>
      <w:pPr>
        <w:pStyle w:val="6"/>
        <w:rPr>
          <w:rFonts w:hAnsi="黑体" w:cs="黑体"/>
          <w:b/>
          <w:color w:val="000000"/>
          <w:sz w:val="24"/>
        </w:rPr>
      </w:pPr>
    </w:p>
    <w:p>
      <w:pPr>
        <w:pStyle w:val="6"/>
        <w:rPr>
          <w:rFonts w:hAnsi="黑体" w:cs="黑体"/>
          <w:b/>
          <w:color w:val="000000"/>
          <w:sz w:val="24"/>
        </w:rPr>
      </w:pPr>
    </w:p>
    <w:p>
      <w:pPr>
        <w:pStyle w:val="6"/>
        <w:rPr>
          <w:rFonts w:hAnsi="黑体" w:cs="黑体"/>
          <w:b/>
          <w:color w:val="000000"/>
          <w:sz w:val="24"/>
        </w:rPr>
      </w:pPr>
    </w:p>
    <w:p/>
    <w:p>
      <w:pPr>
        <w:spacing w:line="500" w:lineRule="exact"/>
        <w:ind w:firstLine="482" w:firstLineChars="200"/>
        <w:rPr>
          <w:rFonts w:ascii="宋体" w:hAnsi="宋体" w:cs="宋体"/>
          <w:sz w:val="24"/>
        </w:rPr>
      </w:pPr>
      <w:r>
        <w:rPr>
          <w:rFonts w:hint="eastAsia" w:ascii="宋体" w:hAnsi="宋体" w:cs="宋体"/>
          <w:b/>
          <w:sz w:val="24"/>
        </w:rPr>
        <w:t>九、比选投标须知</w:t>
      </w:r>
    </w:p>
    <w:p>
      <w:pPr>
        <w:spacing w:line="360" w:lineRule="auto"/>
        <w:ind w:firstLine="480" w:firstLineChars="200"/>
        <w:rPr>
          <w:rFonts w:ascii="宋体" w:hAnsi="宋体" w:cs="宋体"/>
          <w:sz w:val="24"/>
        </w:rPr>
      </w:pPr>
      <w:r>
        <w:rPr>
          <w:rFonts w:hint="eastAsia" w:ascii="宋体" w:hAnsi="宋体" w:cs="宋体"/>
          <w:sz w:val="24"/>
        </w:rPr>
        <w:t>（1）投标费用</w:t>
      </w:r>
    </w:p>
    <w:p>
      <w:pPr>
        <w:spacing w:line="360" w:lineRule="auto"/>
        <w:ind w:firstLine="480" w:firstLineChars="200"/>
        <w:rPr>
          <w:rFonts w:ascii="宋体" w:hAnsi="宋体" w:cs="宋体"/>
          <w:sz w:val="24"/>
        </w:rPr>
      </w:pPr>
      <w:r>
        <w:rPr>
          <w:rFonts w:hint="eastAsia" w:ascii="宋体" w:hAnsi="宋体" w:cs="宋体"/>
          <w:sz w:val="24"/>
        </w:rPr>
        <w:t>投标人参加比选项目所产生的一切费用，不论其结果如何，概由投标人自理。</w:t>
      </w:r>
    </w:p>
    <w:p>
      <w:pPr>
        <w:spacing w:line="360" w:lineRule="auto"/>
        <w:ind w:firstLine="480" w:firstLineChars="200"/>
        <w:rPr>
          <w:rFonts w:ascii="宋体" w:hAnsi="宋体" w:cs="宋体"/>
          <w:sz w:val="24"/>
        </w:rPr>
      </w:pPr>
      <w:r>
        <w:rPr>
          <w:rFonts w:hint="eastAsia" w:ascii="宋体" w:hAnsi="宋体" w:cs="宋体"/>
          <w:sz w:val="24"/>
        </w:rPr>
        <w:t>（2）投标单位应在报名期间认真审阅比选文件。如果投标单位没有实质上不响应比选文件的要求，将被视为不合格投标人。</w:t>
      </w:r>
    </w:p>
    <w:p>
      <w:pPr>
        <w:spacing w:line="360" w:lineRule="auto"/>
        <w:ind w:firstLine="480" w:firstLineChars="200"/>
        <w:rPr>
          <w:rFonts w:ascii="宋体" w:hAnsi="宋体" w:cs="宋体"/>
          <w:sz w:val="24"/>
        </w:rPr>
      </w:pPr>
      <w:r>
        <w:rPr>
          <w:rFonts w:hint="eastAsia" w:ascii="宋体" w:hAnsi="宋体" w:cs="宋体"/>
          <w:sz w:val="24"/>
        </w:rPr>
        <w:t>（3）比选文件的解释和澄清</w:t>
      </w:r>
    </w:p>
    <w:p>
      <w:pPr>
        <w:spacing w:line="360" w:lineRule="auto"/>
        <w:ind w:firstLine="480" w:firstLineChars="200"/>
        <w:rPr>
          <w:rFonts w:ascii="宋体" w:hAnsi="宋体" w:cs="宋体"/>
          <w:sz w:val="24"/>
        </w:rPr>
      </w:pPr>
      <w:r>
        <w:rPr>
          <w:rFonts w:hint="eastAsia" w:ascii="宋体" w:hAnsi="宋体" w:cs="宋体"/>
          <w:sz w:val="24"/>
        </w:rPr>
        <w:t>招标人提供的有关资料和数据是招标人现有的能使投标人利用的资料。投标人对比选文件所作的任何推论、解释和结论，招标人概不负责。投标人因对比选文件的任何推论、误解以及招标人对有关问题的口头解释所造成的后果，均由投标人自负。实质上不响应招标文件要求的投标文件将被拒绝。</w:t>
      </w:r>
    </w:p>
    <w:p>
      <w:pPr>
        <w:spacing w:line="360" w:lineRule="auto"/>
        <w:ind w:firstLine="482" w:firstLineChars="200"/>
        <w:rPr>
          <w:rFonts w:ascii="宋体" w:hAnsi="宋体" w:cs="宋体"/>
          <w:b/>
          <w:bCs/>
          <w:sz w:val="24"/>
        </w:rPr>
      </w:pPr>
      <w:r>
        <w:rPr>
          <w:rFonts w:hint="eastAsia" w:ascii="宋体" w:hAnsi="宋体" w:cs="宋体"/>
          <w:b/>
          <w:bCs/>
          <w:sz w:val="24"/>
        </w:rPr>
        <w:t>十、投标纪律</w:t>
      </w:r>
    </w:p>
    <w:p>
      <w:pPr>
        <w:spacing w:line="360" w:lineRule="auto"/>
        <w:ind w:firstLine="480" w:firstLineChars="200"/>
        <w:rPr>
          <w:rFonts w:ascii="宋体" w:hAnsi="宋体" w:cs="宋体"/>
          <w:sz w:val="24"/>
        </w:rPr>
      </w:pPr>
      <w:r>
        <w:rPr>
          <w:rFonts w:hint="eastAsia" w:ascii="宋体" w:hAnsi="宋体" w:cs="宋体"/>
          <w:sz w:val="24"/>
        </w:rPr>
        <w:t>1、投标单位不得对招标单位、评标人员施加任何影响，否则将取消其投标资格；</w:t>
      </w:r>
    </w:p>
    <w:p>
      <w:pPr>
        <w:spacing w:line="360" w:lineRule="auto"/>
        <w:ind w:firstLine="480" w:firstLineChars="200"/>
        <w:rPr>
          <w:rFonts w:ascii="宋体" w:hAnsi="宋体" w:cs="宋体"/>
          <w:sz w:val="24"/>
        </w:rPr>
      </w:pPr>
      <w:r>
        <w:rPr>
          <w:rFonts w:hint="eastAsia" w:ascii="宋体" w:hAnsi="宋体" w:cs="宋体"/>
          <w:sz w:val="24"/>
        </w:rPr>
        <w:t>2、投标单位不得以挂靠单位、转让证件等形式参与投标，否则其投标无效；</w:t>
      </w:r>
    </w:p>
    <w:p>
      <w:pPr>
        <w:spacing w:line="360" w:lineRule="auto"/>
        <w:ind w:firstLine="480" w:firstLineChars="200"/>
        <w:rPr>
          <w:rFonts w:ascii="宋体" w:hAnsi="宋体" w:cs="宋体"/>
          <w:sz w:val="24"/>
        </w:rPr>
      </w:pPr>
      <w:r>
        <w:rPr>
          <w:rFonts w:hint="eastAsia" w:ascii="宋体" w:hAnsi="宋体" w:cs="宋体"/>
          <w:sz w:val="24"/>
        </w:rPr>
        <w:t>3、投标单位中标后未经招标人书面同意，转让招标代理业务的，将取消其中标资格；</w:t>
      </w:r>
    </w:p>
    <w:p>
      <w:pPr>
        <w:spacing w:line="360" w:lineRule="auto"/>
        <w:ind w:firstLine="480" w:firstLineChars="200"/>
        <w:rPr>
          <w:rFonts w:ascii="宋体" w:hAnsi="宋体" w:cs="宋体"/>
          <w:sz w:val="24"/>
        </w:rPr>
      </w:pPr>
      <w:r>
        <w:rPr>
          <w:rFonts w:hint="eastAsia" w:ascii="宋体" w:hAnsi="宋体" w:cs="宋体"/>
          <w:sz w:val="24"/>
        </w:rPr>
        <w:t>4、各投标单位必须遵守招标单位的一切会议安排，不得以任何理由、任何手段干预、扰乱会场，否则取消其投标资格；</w:t>
      </w:r>
    </w:p>
    <w:p>
      <w:pPr>
        <w:spacing w:line="360" w:lineRule="auto"/>
        <w:ind w:firstLine="480" w:firstLineChars="200"/>
        <w:rPr>
          <w:rFonts w:ascii="宋体" w:hAnsi="宋体" w:cs="宋体"/>
          <w:sz w:val="24"/>
        </w:rPr>
      </w:pPr>
      <w:r>
        <w:rPr>
          <w:rFonts w:hint="eastAsia" w:ascii="宋体" w:hAnsi="宋体" w:cs="宋体"/>
          <w:sz w:val="24"/>
        </w:rPr>
        <w:t>5、投标书中的一切证明、证件必须真实可靠，否则取消其投标资格；</w:t>
      </w:r>
    </w:p>
    <w:p>
      <w:pPr>
        <w:spacing w:line="360" w:lineRule="auto"/>
        <w:ind w:firstLine="480" w:firstLineChars="200"/>
        <w:rPr>
          <w:rFonts w:ascii="宋体" w:hAnsi="宋体" w:cs="宋体"/>
          <w:sz w:val="24"/>
        </w:rPr>
      </w:pPr>
      <w:r>
        <w:rPr>
          <w:rFonts w:hint="eastAsia" w:ascii="宋体" w:hAnsi="宋体" w:cs="宋体"/>
          <w:sz w:val="24"/>
        </w:rPr>
        <w:t>6、投标单位法定代表人或其委托代理人参加本项目招标的一切活动，必须出示单位法定代表人身份证明、有效身份证或盖有法定代表人私章（签名）并</w:t>
      </w:r>
      <w:bookmarkStart w:id="12" w:name="OLE_LINK1"/>
      <w:r>
        <w:rPr>
          <w:rFonts w:hint="eastAsia" w:ascii="宋体" w:hAnsi="宋体" w:cs="宋体"/>
          <w:sz w:val="24"/>
        </w:rPr>
        <w:t>盖投标单位公章</w:t>
      </w:r>
      <w:bookmarkEnd w:id="12"/>
      <w:r>
        <w:rPr>
          <w:rFonts w:hint="eastAsia" w:ascii="宋体" w:hAnsi="宋体" w:cs="宋体"/>
          <w:sz w:val="24"/>
        </w:rPr>
        <w:t>的授权委托书、委托代理人身份证。</w:t>
      </w:r>
    </w:p>
    <w:p>
      <w:pPr>
        <w:spacing w:line="360" w:lineRule="auto"/>
        <w:ind w:firstLine="482" w:firstLineChars="200"/>
        <w:rPr>
          <w:rFonts w:ascii="宋体" w:hAnsi="宋体" w:cs="宋体"/>
          <w:b/>
          <w:bCs/>
          <w:sz w:val="24"/>
        </w:rPr>
      </w:pPr>
      <w:r>
        <w:rPr>
          <w:rFonts w:hint="eastAsia" w:ascii="宋体" w:hAnsi="宋体" w:cs="宋体"/>
          <w:b/>
          <w:bCs/>
          <w:sz w:val="24"/>
        </w:rPr>
        <w:t>十一、比选投标文件的编制要求</w:t>
      </w:r>
    </w:p>
    <w:p>
      <w:pPr>
        <w:spacing w:line="360" w:lineRule="auto"/>
        <w:ind w:firstLine="480" w:firstLineChars="200"/>
        <w:rPr>
          <w:rFonts w:ascii="宋体" w:hAnsi="宋体" w:cs="宋体"/>
          <w:sz w:val="24"/>
        </w:rPr>
      </w:pPr>
      <w:r>
        <w:rPr>
          <w:rFonts w:hint="eastAsia" w:ascii="宋体" w:hAnsi="宋体" w:cs="宋体"/>
          <w:sz w:val="24"/>
        </w:rPr>
        <w:t>比选投标文件的组成。投标文件包括商务标和技术标两部分，商务标和技术标可装订为一本。</w:t>
      </w:r>
    </w:p>
    <w:p>
      <w:pPr>
        <w:spacing w:line="360" w:lineRule="auto"/>
        <w:ind w:firstLine="480" w:firstLineChars="200"/>
        <w:rPr>
          <w:rFonts w:ascii="宋体" w:hAnsi="宋体" w:cs="宋体"/>
          <w:sz w:val="24"/>
        </w:rPr>
      </w:pPr>
      <w:r>
        <w:rPr>
          <w:rFonts w:hint="eastAsia" w:ascii="宋体" w:hAnsi="宋体" w:cs="宋体"/>
          <w:sz w:val="24"/>
        </w:rPr>
        <w:t>（一）商务标部份应包括下列内容：</w:t>
      </w:r>
    </w:p>
    <w:p>
      <w:pPr>
        <w:spacing w:line="360" w:lineRule="auto"/>
        <w:ind w:firstLine="480" w:firstLineChars="200"/>
        <w:rPr>
          <w:rFonts w:ascii="宋体" w:hAnsi="宋体" w:cs="宋体"/>
          <w:sz w:val="24"/>
        </w:rPr>
      </w:pPr>
      <w:r>
        <w:rPr>
          <w:rFonts w:hint="eastAsia" w:ascii="宋体" w:hAnsi="宋体" w:cs="宋体"/>
          <w:sz w:val="24"/>
        </w:rPr>
        <w:t>1、参加比选的代表不是法定代表人的，须有法定代表人签署的授权委托书并加盖单位公章，并附法定代表人有效身份证和被授权人有效身份证复印件；</w:t>
      </w:r>
    </w:p>
    <w:p>
      <w:pPr>
        <w:spacing w:line="360" w:lineRule="auto"/>
        <w:ind w:firstLine="480" w:firstLineChars="200"/>
        <w:rPr>
          <w:rFonts w:ascii="宋体" w:hAnsi="宋体" w:cs="宋体"/>
          <w:sz w:val="24"/>
        </w:rPr>
      </w:pPr>
      <w:r>
        <w:rPr>
          <w:rFonts w:hint="eastAsia" w:ascii="宋体" w:hAnsi="宋体" w:cs="宋体"/>
          <w:sz w:val="24"/>
        </w:rPr>
        <w:t>2、服务承诺书；</w:t>
      </w:r>
    </w:p>
    <w:p>
      <w:pPr>
        <w:pStyle w:val="6"/>
      </w:pPr>
      <w:r>
        <w:rPr>
          <w:rFonts w:hint="eastAsia" w:ascii="宋体" w:hAnsi="宋体" w:eastAsia="宋体" w:cs="宋体"/>
          <w:kern w:val="2"/>
          <w:sz w:val="24"/>
          <w:szCs w:val="24"/>
        </w:rPr>
        <w:t xml:space="preserve">    3、服务方案；</w:t>
      </w:r>
    </w:p>
    <w:p>
      <w:pPr>
        <w:spacing w:line="360" w:lineRule="auto"/>
        <w:ind w:firstLine="480" w:firstLineChars="200"/>
        <w:rPr>
          <w:rFonts w:ascii="宋体" w:hAnsi="宋体" w:cs="宋体"/>
          <w:sz w:val="24"/>
        </w:rPr>
      </w:pPr>
      <w:r>
        <w:rPr>
          <w:rFonts w:hint="eastAsia" w:ascii="宋体" w:hAnsi="宋体" w:cs="宋体"/>
          <w:sz w:val="24"/>
        </w:rPr>
        <w:t>4、比选投标单位基本情况；</w:t>
      </w:r>
    </w:p>
    <w:p>
      <w:pPr>
        <w:spacing w:line="360" w:lineRule="auto"/>
        <w:ind w:firstLine="480" w:firstLineChars="200"/>
        <w:rPr>
          <w:rFonts w:ascii="宋体" w:hAnsi="宋体" w:cs="宋体"/>
          <w:sz w:val="24"/>
        </w:rPr>
      </w:pPr>
      <w:r>
        <w:rPr>
          <w:rFonts w:hint="eastAsia" w:ascii="宋体" w:hAnsi="宋体" w:cs="宋体"/>
          <w:sz w:val="24"/>
        </w:rPr>
        <w:t>5、比选投标单位近三年来成功案例业绩证明资料；</w:t>
      </w:r>
    </w:p>
    <w:p>
      <w:pPr>
        <w:spacing w:line="360" w:lineRule="auto"/>
        <w:ind w:firstLine="480" w:firstLineChars="200"/>
        <w:rPr>
          <w:rFonts w:ascii="宋体" w:hAnsi="宋体" w:cs="宋体"/>
          <w:sz w:val="24"/>
        </w:rPr>
      </w:pPr>
      <w:r>
        <w:rPr>
          <w:rFonts w:hint="eastAsia" w:ascii="宋体" w:hAnsi="宋体" w:cs="宋体"/>
          <w:sz w:val="24"/>
        </w:rPr>
        <w:t>6、比选投标单位拟委派项目负责人及相关人员资格情况一览表（包括：姓名、性别、出生年月、学历、职称、执业资格、身份证编号），并提供员工近三个月缴纳社保证明资料及相应学历、职称、执业资格、身份证的复印件（加盖投标单位公章）；</w:t>
      </w:r>
    </w:p>
    <w:p>
      <w:pPr>
        <w:spacing w:line="360" w:lineRule="auto"/>
        <w:ind w:firstLine="480" w:firstLineChars="200"/>
        <w:rPr>
          <w:rFonts w:ascii="宋体" w:hAnsi="宋体" w:cs="宋体"/>
          <w:sz w:val="24"/>
        </w:rPr>
      </w:pPr>
      <w:r>
        <w:rPr>
          <w:rFonts w:hint="eastAsia" w:ascii="宋体" w:hAnsi="宋体" w:cs="宋体"/>
          <w:sz w:val="24"/>
        </w:rPr>
        <w:t>7、比选投标单位相关企业证书（企业法人营业执照副本、企业法人组织机构代码证、</w:t>
      </w:r>
      <w:r>
        <w:rPr>
          <w:rFonts w:hint="eastAsia" w:ascii="宋体" w:hAnsi="宋体" w:cs="宋体"/>
          <w:sz w:val="24"/>
          <w:highlight w:val="green"/>
        </w:rPr>
        <w:t>电子卖场（提供相关网上截图）</w:t>
      </w:r>
      <w:r>
        <w:rPr>
          <w:rFonts w:hint="eastAsia" w:ascii="宋体" w:hAnsi="宋体" w:cs="宋体"/>
          <w:sz w:val="24"/>
        </w:rPr>
        <w:t>等的复印件）；</w:t>
      </w:r>
    </w:p>
    <w:p>
      <w:pPr>
        <w:spacing w:line="360" w:lineRule="auto"/>
        <w:ind w:firstLine="480" w:firstLineChars="200"/>
        <w:rPr>
          <w:rFonts w:ascii="宋体" w:hAnsi="宋体" w:cs="宋体"/>
          <w:sz w:val="24"/>
        </w:rPr>
      </w:pPr>
      <w:r>
        <w:rPr>
          <w:rFonts w:hint="eastAsia" w:ascii="宋体" w:hAnsi="宋体" w:cs="宋体"/>
          <w:sz w:val="24"/>
        </w:rPr>
        <w:t>8、特定资格证明文件；</w:t>
      </w:r>
    </w:p>
    <w:p>
      <w:pPr>
        <w:spacing w:line="360" w:lineRule="auto"/>
        <w:ind w:firstLine="480" w:firstLineChars="200"/>
        <w:rPr>
          <w:rFonts w:ascii="宋体" w:hAnsi="宋体" w:cs="宋体"/>
          <w:sz w:val="24"/>
        </w:rPr>
      </w:pPr>
      <w:r>
        <w:rPr>
          <w:rFonts w:hint="eastAsia" w:ascii="宋体" w:hAnsi="宋体" w:cs="宋体"/>
          <w:sz w:val="24"/>
        </w:rPr>
        <w:t>9、投标单位认为需要提供的其他资料文件。</w:t>
      </w:r>
    </w:p>
    <w:p>
      <w:pPr>
        <w:spacing w:line="360" w:lineRule="auto"/>
        <w:ind w:firstLine="480" w:firstLineChars="200"/>
        <w:rPr>
          <w:rFonts w:ascii="宋体" w:hAnsi="宋体" w:cs="宋体"/>
          <w:sz w:val="24"/>
        </w:rPr>
      </w:pPr>
      <w:r>
        <w:rPr>
          <w:rFonts w:hint="eastAsia" w:ascii="宋体" w:hAnsi="宋体" w:cs="宋体"/>
          <w:sz w:val="24"/>
        </w:rPr>
        <w:t>（二）技术部分由投标单位自行编制。</w:t>
      </w:r>
    </w:p>
    <w:p>
      <w:pPr>
        <w:spacing w:line="360" w:lineRule="auto"/>
        <w:ind w:firstLine="480" w:firstLineChars="200"/>
        <w:rPr>
          <w:rFonts w:ascii="宋体" w:hAnsi="宋体" w:cs="宋体"/>
          <w:sz w:val="24"/>
        </w:rPr>
      </w:pPr>
      <w:r>
        <w:rPr>
          <w:rFonts w:hint="eastAsia" w:ascii="宋体" w:hAnsi="宋体" w:cs="宋体"/>
          <w:sz w:val="24"/>
        </w:rPr>
        <w:t>注：各比选</w:t>
      </w:r>
      <w:bookmarkStart w:id="13" w:name="OLE_LINK3"/>
      <w:r>
        <w:rPr>
          <w:rFonts w:hint="eastAsia" w:ascii="宋体" w:hAnsi="宋体" w:cs="宋体"/>
          <w:sz w:val="24"/>
        </w:rPr>
        <w:t>投标单位</w:t>
      </w:r>
      <w:bookmarkEnd w:id="13"/>
      <w:r>
        <w:rPr>
          <w:rFonts w:hint="eastAsia" w:ascii="宋体" w:hAnsi="宋体" w:cs="宋体"/>
          <w:sz w:val="24"/>
        </w:rPr>
        <w:t>应保证上述资料的真实、可靠，如提供的资料和数据出现弄虚作假的情况即取消比选资格或中标候选人资格。</w:t>
      </w:r>
    </w:p>
    <w:p>
      <w:pPr>
        <w:spacing w:line="360" w:lineRule="auto"/>
        <w:ind w:firstLine="482" w:firstLineChars="200"/>
        <w:rPr>
          <w:rFonts w:ascii="宋体" w:hAnsi="宋体" w:cs="宋体"/>
          <w:b/>
          <w:bCs/>
          <w:sz w:val="24"/>
        </w:rPr>
      </w:pPr>
      <w:r>
        <w:rPr>
          <w:rFonts w:hint="eastAsia" w:ascii="宋体" w:hAnsi="宋体" w:cs="宋体"/>
          <w:b/>
          <w:bCs/>
          <w:sz w:val="24"/>
        </w:rPr>
        <w:t>十二、比选投标文件的份数与签署</w:t>
      </w:r>
    </w:p>
    <w:p>
      <w:pPr>
        <w:spacing w:line="360" w:lineRule="auto"/>
        <w:ind w:firstLine="480" w:firstLineChars="200"/>
        <w:rPr>
          <w:rFonts w:ascii="宋体" w:hAnsi="宋体" w:cs="宋体"/>
          <w:sz w:val="24"/>
        </w:rPr>
      </w:pPr>
      <w:r>
        <w:rPr>
          <w:rFonts w:hint="eastAsia" w:ascii="宋体" w:hAnsi="宋体" w:cs="宋体"/>
          <w:sz w:val="24"/>
        </w:rPr>
        <w:t>（1）比选投标文件一正</w:t>
      </w:r>
      <w:r>
        <w:rPr>
          <w:rFonts w:hint="eastAsia" w:ascii="宋体" w:hAnsi="宋体" w:cs="宋体"/>
          <w:sz w:val="24"/>
          <w:lang w:val="en-US" w:eastAsia="zh-CN"/>
        </w:rPr>
        <w:t>二</w:t>
      </w:r>
      <w:r>
        <w:rPr>
          <w:rFonts w:hint="eastAsia" w:ascii="宋体" w:hAnsi="宋体" w:cs="宋体"/>
          <w:sz w:val="24"/>
        </w:rPr>
        <w:t>副，字迹应清晰易于辨认,并清楚地注明“正本”或“副本”，正本的签署应完好无缺；正本和副本如有不一致之处，以正本为准；如未注明“正本”或“副本”，且投标文件中实质性内容表述不一致的，则视为不合格投标人。</w:t>
      </w:r>
    </w:p>
    <w:p>
      <w:pPr>
        <w:spacing w:line="360" w:lineRule="auto"/>
        <w:ind w:firstLine="480" w:firstLineChars="200"/>
        <w:rPr>
          <w:rFonts w:ascii="宋体" w:hAnsi="宋体" w:cs="宋体"/>
          <w:sz w:val="24"/>
        </w:rPr>
      </w:pPr>
      <w:r>
        <w:rPr>
          <w:rFonts w:hint="eastAsia" w:ascii="宋体" w:hAnsi="宋体" w:cs="宋体"/>
          <w:sz w:val="24"/>
        </w:rPr>
        <w:t xml:space="preserve">（2）投标文件（内封面或外封面）、比选承诺函应加盖投标单位公章，并由法定代表人或其委托人签字或盖章，否则视为不合格投标人。 </w:t>
      </w:r>
    </w:p>
    <w:p>
      <w:pPr>
        <w:spacing w:line="360" w:lineRule="auto"/>
        <w:ind w:firstLine="480" w:firstLineChars="200"/>
        <w:rPr>
          <w:rFonts w:ascii="宋体" w:hAnsi="宋体" w:cs="宋体"/>
          <w:sz w:val="24"/>
        </w:rPr>
      </w:pPr>
      <w:r>
        <w:rPr>
          <w:rFonts w:hint="eastAsia" w:ascii="宋体" w:hAnsi="宋体" w:cs="宋体"/>
          <w:sz w:val="24"/>
        </w:rPr>
        <w:t>(3)除投标人对商务标错误处须修改外，全套投标文件应无涂改或行间插字和增删。如有修改，修改处应由投标人加盖公章或由投标文件签署人签字并盖章，否则其修改的内容无效。</w:t>
      </w:r>
    </w:p>
    <w:p>
      <w:pPr>
        <w:spacing w:line="360" w:lineRule="auto"/>
        <w:ind w:firstLine="480" w:firstLineChars="200"/>
        <w:rPr>
          <w:rFonts w:ascii="宋体" w:hAnsi="宋体" w:cs="宋体"/>
          <w:sz w:val="24"/>
        </w:rPr>
      </w:pPr>
      <w:r>
        <w:rPr>
          <w:rFonts w:hint="eastAsia" w:ascii="宋体" w:hAnsi="宋体" w:cs="宋体"/>
          <w:sz w:val="24"/>
        </w:rPr>
        <w:t>(4)电报、电话或传真形式的投标，招标人概不接受。</w:t>
      </w:r>
    </w:p>
    <w:p>
      <w:pPr>
        <w:spacing w:line="360" w:lineRule="auto"/>
        <w:ind w:firstLine="482" w:firstLineChars="200"/>
        <w:rPr>
          <w:rFonts w:ascii="宋体" w:hAnsi="宋体" w:cs="宋体"/>
          <w:b/>
          <w:bCs/>
          <w:sz w:val="24"/>
        </w:rPr>
      </w:pPr>
      <w:r>
        <w:rPr>
          <w:rFonts w:hint="eastAsia" w:ascii="宋体" w:hAnsi="宋体" w:cs="宋体"/>
          <w:b/>
          <w:bCs/>
          <w:sz w:val="24"/>
        </w:rPr>
        <w:t>十三、投标文件的密封与递交</w:t>
      </w:r>
    </w:p>
    <w:p>
      <w:pPr>
        <w:spacing w:line="360" w:lineRule="auto"/>
        <w:ind w:firstLine="480" w:firstLineChars="200"/>
        <w:rPr>
          <w:rFonts w:ascii="宋体" w:hAnsi="宋体" w:cs="宋体"/>
          <w:sz w:val="24"/>
        </w:rPr>
      </w:pPr>
      <w:r>
        <w:rPr>
          <w:rFonts w:hint="eastAsia" w:ascii="宋体" w:hAnsi="宋体" w:cs="宋体"/>
          <w:sz w:val="24"/>
        </w:rPr>
        <w:t>(1)投标文件的装订密封和标记</w:t>
      </w:r>
    </w:p>
    <w:p>
      <w:pPr>
        <w:spacing w:line="360" w:lineRule="auto"/>
        <w:ind w:firstLine="480" w:firstLineChars="200"/>
        <w:rPr>
          <w:rFonts w:ascii="宋体" w:hAnsi="宋体" w:cs="宋体"/>
          <w:sz w:val="24"/>
        </w:rPr>
      </w:pPr>
      <w:r>
        <w:rPr>
          <w:rFonts w:hint="eastAsia" w:ascii="宋体" w:hAnsi="宋体" w:cs="宋体"/>
          <w:sz w:val="24"/>
        </w:rPr>
        <w:t>投标人应将投标文件密封包装。</w:t>
      </w:r>
    </w:p>
    <w:p>
      <w:pPr>
        <w:spacing w:line="360" w:lineRule="auto"/>
        <w:ind w:firstLine="480" w:firstLineChars="200"/>
        <w:rPr>
          <w:rFonts w:ascii="宋体" w:hAnsi="宋体" w:cs="宋体"/>
          <w:sz w:val="24"/>
        </w:rPr>
      </w:pPr>
      <w:r>
        <w:rPr>
          <w:rFonts w:hint="eastAsia" w:ascii="宋体" w:hAnsi="宋体" w:cs="宋体"/>
          <w:sz w:val="24"/>
        </w:rPr>
        <w:t>投标文件封皮上应注明招标项目名称、投标人名称。投标文件密封袋应密封完整，并在封口处加盖投标人公章和法定代表人或委托代理人签字（或印章）。</w:t>
      </w:r>
    </w:p>
    <w:p>
      <w:pPr>
        <w:spacing w:line="360" w:lineRule="auto"/>
        <w:ind w:firstLine="480" w:firstLineChars="200"/>
        <w:rPr>
          <w:rFonts w:ascii="宋体" w:hAnsi="宋体" w:cs="宋体"/>
          <w:sz w:val="24"/>
        </w:rPr>
      </w:pPr>
      <w:r>
        <w:rPr>
          <w:rFonts w:hint="eastAsia" w:ascii="宋体" w:hAnsi="宋体" w:cs="宋体"/>
          <w:sz w:val="24"/>
        </w:rPr>
        <w:t>投标书未按上述规定密封的视为无效投标书。</w:t>
      </w:r>
    </w:p>
    <w:p>
      <w:pPr>
        <w:spacing w:line="360" w:lineRule="auto"/>
        <w:ind w:firstLine="480" w:firstLineChars="200"/>
        <w:rPr>
          <w:rFonts w:ascii="宋体" w:hAnsi="宋体" w:cs="宋体"/>
          <w:sz w:val="24"/>
        </w:rPr>
      </w:pPr>
      <w:r>
        <w:rPr>
          <w:rFonts w:hint="eastAsia" w:ascii="宋体" w:hAnsi="宋体" w:cs="宋体"/>
          <w:sz w:val="24"/>
          <w:highlight w:val="green"/>
        </w:rPr>
        <w:t>同时递交一份资质证明文件。</w:t>
      </w:r>
    </w:p>
    <w:p>
      <w:pPr>
        <w:spacing w:line="360" w:lineRule="auto"/>
        <w:ind w:firstLine="480" w:firstLineChars="200"/>
        <w:rPr>
          <w:rFonts w:ascii="宋体" w:hAnsi="宋体" w:cs="宋体"/>
          <w:sz w:val="24"/>
        </w:rPr>
      </w:pPr>
      <w:r>
        <w:rPr>
          <w:rFonts w:hint="eastAsia" w:ascii="宋体" w:hAnsi="宋体" w:cs="宋体"/>
          <w:sz w:val="24"/>
        </w:rPr>
        <w:t>(2)投标文件的递交</w:t>
      </w:r>
    </w:p>
    <w:p>
      <w:pPr>
        <w:spacing w:line="360" w:lineRule="auto"/>
        <w:ind w:firstLine="480" w:firstLineChars="200"/>
        <w:rPr>
          <w:rFonts w:ascii="宋体" w:hAnsi="宋体" w:cs="宋体"/>
          <w:sz w:val="24"/>
        </w:rPr>
      </w:pPr>
      <w:r>
        <w:rPr>
          <w:rFonts w:hint="eastAsia" w:ascii="宋体" w:hAnsi="宋体" w:cs="宋体"/>
          <w:sz w:val="24"/>
        </w:rPr>
        <w:t>各投标人的投标书由专人于规定的投标截止时间之前送至湖南化工职业技术学院行政楼</w:t>
      </w:r>
      <w:r>
        <w:rPr>
          <w:rFonts w:ascii="宋体" w:hAnsi="宋体" w:cs="宋体"/>
          <w:sz w:val="24"/>
        </w:rPr>
        <w:t>1</w:t>
      </w:r>
      <w:r>
        <w:rPr>
          <w:rFonts w:hint="eastAsia" w:ascii="宋体" w:hAnsi="宋体" w:cs="宋体"/>
          <w:sz w:val="24"/>
        </w:rPr>
        <w:t>10会议室，由工作人员登记。投标时间截止后，逾期送达的投标书将被招标单位拒收，其投标书为无效投标书。</w:t>
      </w:r>
    </w:p>
    <w:p>
      <w:pPr>
        <w:spacing w:before="156" w:beforeLines="50" w:after="156" w:afterLines="50" w:line="360" w:lineRule="auto"/>
        <w:ind w:firstLine="482" w:firstLineChars="200"/>
        <w:rPr>
          <w:rFonts w:ascii="宋体" w:hAnsi="宋体" w:cs="宋体"/>
          <w:b/>
          <w:sz w:val="24"/>
        </w:rPr>
      </w:pPr>
      <w:r>
        <w:rPr>
          <w:rFonts w:hint="eastAsia" w:ascii="宋体" w:hAnsi="宋体" w:cs="宋体"/>
          <w:b/>
          <w:sz w:val="24"/>
        </w:rPr>
        <w:t>十四、评标办法和选取确认方式</w:t>
      </w:r>
    </w:p>
    <w:p>
      <w:pPr>
        <w:spacing w:line="360" w:lineRule="auto"/>
        <w:ind w:firstLine="480" w:firstLineChars="200"/>
        <w:rPr>
          <w:rFonts w:ascii="宋体" w:hAnsi="宋体" w:cs="宋体"/>
          <w:sz w:val="24"/>
        </w:rPr>
      </w:pPr>
      <w:r>
        <w:rPr>
          <w:rFonts w:hint="eastAsia" w:ascii="宋体" w:hAnsi="宋体" w:cs="宋体"/>
          <w:sz w:val="24"/>
        </w:rPr>
        <w:t>1、比选评分标准</w:t>
      </w:r>
    </w:p>
    <w:p>
      <w:pPr>
        <w:spacing w:line="360" w:lineRule="auto"/>
        <w:ind w:firstLine="480" w:firstLineChars="200"/>
        <w:rPr>
          <w:rFonts w:ascii="宋体" w:hAnsi="宋体" w:cs="宋体"/>
          <w:sz w:val="24"/>
        </w:rPr>
      </w:pPr>
      <w:r>
        <w:rPr>
          <w:rFonts w:hint="eastAsia" w:ascii="宋体" w:hAnsi="宋体" w:cs="宋体"/>
          <w:sz w:val="24"/>
        </w:rPr>
        <w:t>对参与比选的投标人进行资格审查后，按比选评分标准对各投标人进行打分，综合得分排名前1名的投标人获得本次比选的中标资格，比选评分标准附后。</w:t>
      </w:r>
    </w:p>
    <w:p>
      <w:pPr>
        <w:pStyle w:val="8"/>
        <w:spacing w:after="0"/>
        <w:jc w:val="center"/>
        <w:rPr>
          <w:rFonts w:ascii="仿宋" w:hAnsi="仿宋" w:eastAsia="仿宋" w:cs="仿宋"/>
          <w:color w:val="FF0000"/>
          <w:sz w:val="28"/>
          <w:szCs w:val="28"/>
        </w:rPr>
      </w:pPr>
      <w:r>
        <w:rPr>
          <w:rFonts w:hint="eastAsia" w:ascii="仿宋" w:hAnsi="仿宋" w:eastAsia="仿宋" w:cs="仿宋"/>
          <w:b/>
          <w:bCs/>
          <w:sz w:val="28"/>
          <w:szCs w:val="28"/>
        </w:rPr>
        <w:t>比选</w:t>
      </w:r>
      <w:bookmarkStart w:id="14" w:name="_Hlk160818547"/>
      <w:r>
        <w:rPr>
          <w:rFonts w:hint="eastAsia" w:ascii="仿宋" w:hAnsi="仿宋" w:eastAsia="仿宋" w:cs="仿宋"/>
          <w:b/>
          <w:bCs/>
          <w:sz w:val="28"/>
          <w:szCs w:val="28"/>
        </w:rPr>
        <w:t>评分标准</w:t>
      </w:r>
      <w:bookmarkEnd w:id="14"/>
    </w:p>
    <w:tbl>
      <w:tblPr>
        <w:tblStyle w:val="19"/>
        <w:tblW w:w="10089" w:type="dxa"/>
        <w:tblInd w:w="-23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1"/>
        <w:gridCol w:w="83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691" w:type="dxa"/>
            <w:vAlign w:val="center"/>
          </w:tcPr>
          <w:p>
            <w:pPr>
              <w:spacing w:line="400" w:lineRule="exact"/>
              <w:jc w:val="center"/>
              <w:rPr>
                <w:rFonts w:hAnsi="仿宋_GB2312" w:cs="仿宋_GB2312"/>
                <w:b/>
                <w:bCs/>
                <w:sz w:val="24"/>
              </w:rPr>
            </w:pPr>
            <w:r>
              <w:rPr>
                <w:rFonts w:hint="eastAsia" w:hAnsi="仿宋_GB2312" w:cs="仿宋_GB2312"/>
                <w:b/>
                <w:bCs/>
                <w:sz w:val="24"/>
              </w:rPr>
              <w:t>评分因素</w:t>
            </w:r>
          </w:p>
        </w:tc>
        <w:tc>
          <w:tcPr>
            <w:tcW w:w="8398" w:type="dxa"/>
            <w:vAlign w:val="center"/>
          </w:tcPr>
          <w:p>
            <w:pPr>
              <w:spacing w:line="400" w:lineRule="exact"/>
              <w:jc w:val="center"/>
              <w:rPr>
                <w:rFonts w:hAnsi="仿宋_GB2312" w:cs="仿宋_GB2312"/>
                <w:b/>
                <w:bCs/>
                <w:sz w:val="24"/>
              </w:rPr>
            </w:pPr>
            <w:r>
              <w:rPr>
                <w:rFonts w:hint="eastAsia" w:hAnsi="仿宋_GB2312" w:cs="仿宋_GB2312"/>
                <w:b/>
                <w:bCs/>
                <w:sz w:val="24"/>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投标报价</w:t>
            </w:r>
          </w:p>
          <w:p>
            <w:pPr>
              <w:spacing w:line="400" w:lineRule="exact"/>
              <w:jc w:val="center"/>
              <w:rPr>
                <w:rFonts w:hAnsi="仿宋_GB2312" w:cs="仿宋_GB2312"/>
                <w:sz w:val="24"/>
              </w:rPr>
            </w:pPr>
            <w:r>
              <w:rPr>
                <w:rFonts w:hint="eastAsia" w:hAnsi="仿宋_GB2312" w:cs="仿宋_GB2312"/>
                <w:sz w:val="24"/>
              </w:rPr>
              <w:t>（30分）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以经评审满足比选文件要求且投标价格（</w:t>
            </w:r>
            <w:r>
              <w:rPr>
                <w:rFonts w:hint="eastAsia" w:hAnsi="仿宋_GB2312" w:cs="仿宋_GB2312"/>
                <w:sz w:val="24"/>
                <w:highlight w:val="green"/>
              </w:rPr>
              <w:t>两个表报价总价之和</w:t>
            </w:r>
            <w:r>
              <w:rPr>
                <w:rFonts w:hint="eastAsia" w:hAnsi="仿宋_GB2312" w:cs="仿宋_GB2312"/>
                <w:sz w:val="24"/>
              </w:rPr>
              <w:t xml:space="preserve">）最低的投标报价（折扣率最低）为评标基准价，其价格得分计30分。其他供应商的价格得分统一按公式计算： </w:t>
            </w:r>
            <w:r>
              <w:rPr>
                <w:rFonts w:hAnsi="仿宋_GB2312" w:cs="仿宋_GB2312"/>
                <w:sz w:val="24"/>
              </w:rPr>
              <w:t xml:space="preserve"> </w:t>
            </w:r>
            <w:r>
              <w:rPr>
                <w:rFonts w:hint="eastAsia" w:hAnsi="仿宋_GB2312" w:cs="仿宋_GB2312"/>
                <w:sz w:val="24"/>
              </w:rPr>
              <w:t>投标报价得分＝（评标基准价／投标报价）×30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1" w:type="dxa"/>
            <w:vAlign w:val="center"/>
          </w:tcPr>
          <w:p>
            <w:pPr>
              <w:pStyle w:val="2"/>
              <w:rPr>
                <w:rFonts w:hAnsi="仿宋_GB2312" w:cs="仿宋_GB2312"/>
                <w:sz w:val="24"/>
              </w:rPr>
            </w:pPr>
            <w:r>
              <w:rPr>
                <w:rFonts w:hint="eastAsia" w:hAnsi="仿宋_GB2312" w:cs="仿宋_GB2312"/>
                <w:sz w:val="24"/>
              </w:rPr>
              <w:t>产品综合选型（20分）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根据投标人提供的所投主要产品（至少包含所有样品）的彩页、产品检测报告或产品说明书，以及货物来源渠道等相关证明材料对所投产品的技术先进性、综合性能、安全性能等进行综合评分：</w:t>
            </w:r>
          </w:p>
          <w:p>
            <w:pPr>
              <w:spacing w:line="400" w:lineRule="exact"/>
              <w:jc w:val="left"/>
              <w:rPr>
                <w:rFonts w:hAnsi="仿宋_GB2312" w:cs="仿宋_GB2312"/>
                <w:sz w:val="24"/>
              </w:rPr>
            </w:pPr>
            <w:r>
              <w:rPr>
                <w:rFonts w:hint="eastAsia" w:hAnsi="仿宋_GB2312" w:cs="仿宋_GB2312"/>
                <w:sz w:val="24"/>
              </w:rPr>
              <w:t>1）由评标委员会根据所投主要产品彩页、检测报告、产品说明书等相关证明材料对所投产品的技术先进性、综合性能、安全性能横向对比计分：</w:t>
            </w:r>
          </w:p>
          <w:p>
            <w:pPr>
              <w:spacing w:line="400" w:lineRule="exact"/>
              <w:jc w:val="left"/>
              <w:rPr>
                <w:rFonts w:hAnsi="仿宋_GB2312" w:cs="仿宋_GB2312"/>
                <w:sz w:val="24"/>
              </w:rPr>
            </w:pPr>
            <w:r>
              <w:rPr>
                <w:rFonts w:hint="eastAsia" w:hAnsi="仿宋_GB2312" w:cs="仿宋_GB2312"/>
                <w:sz w:val="24"/>
              </w:rPr>
              <w:t xml:space="preserve">1）产品技术先进、综合性能优、质量最优，完全满足用户需求的，进货渠道正规、畅通且货源稳定的，计20 分； </w:t>
            </w:r>
          </w:p>
          <w:p>
            <w:pPr>
              <w:spacing w:line="400" w:lineRule="exact"/>
              <w:jc w:val="left"/>
              <w:rPr>
                <w:rFonts w:hAnsi="仿宋_GB2312" w:cs="仿宋_GB2312"/>
                <w:sz w:val="24"/>
              </w:rPr>
            </w:pPr>
            <w:r>
              <w:rPr>
                <w:rFonts w:hint="eastAsia" w:hAnsi="仿宋_GB2312" w:cs="仿宋_GB2312"/>
                <w:sz w:val="24"/>
              </w:rPr>
              <w:t>2）产品技术较先进、综合性能较好、质量较好，基本满足用户需求的，进货渠道正规、畅通且货源较稳定的，计 15 分；</w:t>
            </w:r>
          </w:p>
          <w:p>
            <w:pPr>
              <w:spacing w:line="400" w:lineRule="exact"/>
              <w:jc w:val="left"/>
              <w:rPr>
                <w:rFonts w:hAnsi="仿宋_GB2312" w:cs="仿宋_GB2312"/>
                <w:sz w:val="24"/>
              </w:rPr>
            </w:pPr>
            <w:r>
              <w:rPr>
                <w:rFonts w:hint="eastAsia" w:hAnsi="仿宋_GB2312" w:cs="仿宋_GB2312"/>
                <w:sz w:val="24"/>
              </w:rPr>
              <w:t>3）产品技术综合性能一般、质量一般，大部分能满足用户需求的，进货渠道正规、货源稳定性一般的，计 10 分；</w:t>
            </w:r>
          </w:p>
          <w:p>
            <w:pPr>
              <w:spacing w:line="400" w:lineRule="exact"/>
              <w:jc w:val="left"/>
              <w:rPr>
                <w:rFonts w:hAnsi="仿宋_GB2312" w:cs="仿宋_GB2312"/>
                <w:sz w:val="24"/>
              </w:rPr>
            </w:pPr>
            <w:r>
              <w:rPr>
                <w:rFonts w:hint="eastAsia" w:hAnsi="仿宋_GB2312" w:cs="仿宋_GB2312"/>
                <w:sz w:val="24"/>
              </w:rPr>
              <w:t>4）此项未提供的计0分。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1" w:type="dxa"/>
            <w:vAlign w:val="center"/>
          </w:tcPr>
          <w:p>
            <w:pPr>
              <w:pStyle w:val="2"/>
              <w:rPr>
                <w:rFonts w:hAnsi="仿宋_GB2312" w:cs="仿宋_GB2312"/>
                <w:sz w:val="24"/>
              </w:rPr>
            </w:pPr>
            <w:r>
              <w:rPr>
                <w:rFonts w:hint="eastAsia" w:hAnsi="仿宋_GB2312" w:cs="仿宋_GB2312"/>
                <w:sz w:val="24"/>
              </w:rPr>
              <w:t>样品评价（15分）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评标委员会综合考虑各投标人样品的完整性、外观、材质、制作工艺水平、安全性、牢固性、设计合理及实用性、操作性，并结合现场情况，进行综合评分：</w:t>
            </w:r>
          </w:p>
          <w:p>
            <w:pPr>
              <w:spacing w:line="400" w:lineRule="exact"/>
              <w:jc w:val="left"/>
              <w:rPr>
                <w:rFonts w:hAnsi="仿宋_GB2312" w:cs="仿宋_GB2312"/>
                <w:sz w:val="24"/>
              </w:rPr>
            </w:pPr>
            <w:r>
              <w:rPr>
                <w:rFonts w:hint="eastAsia" w:hAnsi="仿宋_GB2312" w:cs="仿宋_GB2312"/>
                <w:sz w:val="24"/>
              </w:rPr>
              <w:t>1）样品组成完整，现场观测到的参数完全满足招标文件要求，制作工艺优，材质好、外观符合要求、安全性好，设计先进、操作及实用性强，现场测试无任何问题的，计 15 分；</w:t>
            </w:r>
          </w:p>
          <w:p>
            <w:pPr>
              <w:spacing w:line="400" w:lineRule="exact"/>
              <w:jc w:val="left"/>
              <w:rPr>
                <w:rFonts w:hAnsi="仿宋_GB2312" w:cs="仿宋_GB2312"/>
                <w:sz w:val="24"/>
              </w:rPr>
            </w:pPr>
            <w:r>
              <w:rPr>
                <w:rFonts w:hint="eastAsia" w:hAnsi="仿宋_GB2312" w:cs="仿宋_GB2312"/>
                <w:sz w:val="24"/>
              </w:rPr>
              <w:t>2）样品组成完整，现场观测到的技术参数满足招标文件要求，制作工艺良好，材质较好、外观符合要求、安全性较好，设计较好、操作及实用性较强，现场测试较好的，计 10分；</w:t>
            </w:r>
          </w:p>
          <w:p>
            <w:pPr>
              <w:spacing w:line="400" w:lineRule="exact"/>
              <w:jc w:val="left"/>
              <w:rPr>
                <w:rFonts w:hAnsi="仿宋_GB2312" w:cs="仿宋_GB2312"/>
                <w:sz w:val="24"/>
              </w:rPr>
            </w:pPr>
            <w:r>
              <w:rPr>
                <w:rFonts w:hint="eastAsia" w:hAnsi="仿宋_GB2312" w:cs="仿宋_GB2312"/>
                <w:sz w:val="24"/>
              </w:rPr>
              <w:t>3）样品组成基本完整，现场观测到的技术参数基本符合招标文件要求，制作工艺一般，外观符合要求，安全性一般，设计较好、操作及实用性一般的，现场测试效果一般的，计 5分；</w:t>
            </w:r>
          </w:p>
          <w:p>
            <w:pPr>
              <w:spacing w:line="400" w:lineRule="exact"/>
              <w:jc w:val="left"/>
              <w:rPr>
                <w:rFonts w:hAnsi="仿宋_GB2312" w:cs="仿宋_GB2312"/>
                <w:sz w:val="24"/>
              </w:rPr>
            </w:pPr>
            <w:r>
              <w:rPr>
                <w:rFonts w:hint="eastAsia" w:hAnsi="仿宋_GB2312" w:cs="仿宋_GB2312"/>
                <w:sz w:val="24"/>
              </w:rPr>
              <w:t>计分说明：未提交样品或提交的样品非招标采购的产品，样品组成有重大缺陷或现场使用发生故障、无法使用的，所交样品与投标文件不符的，均计 0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0"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项目实施方案（10分）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根据投标人提供的项目实施方案（包括但不限于服务实施措施、配送流程、质量保障措施、应急服务预案等）进行综合评分：</w:t>
            </w:r>
          </w:p>
          <w:p>
            <w:pPr>
              <w:spacing w:line="400" w:lineRule="exact"/>
              <w:jc w:val="left"/>
              <w:rPr>
                <w:rFonts w:hAnsi="仿宋_GB2312" w:cs="仿宋_GB2312"/>
                <w:sz w:val="24"/>
              </w:rPr>
            </w:pPr>
            <w:r>
              <w:rPr>
                <w:rFonts w:hint="eastAsia" w:hAnsi="仿宋_GB2312" w:cs="仿宋_GB2312"/>
                <w:sz w:val="24"/>
              </w:rPr>
              <w:t>1）服务实施措施详细、合理，配送流程安排周密、质量保障措施科学，应急服务预案可操作性强的计10分；</w:t>
            </w:r>
          </w:p>
          <w:p>
            <w:pPr>
              <w:spacing w:line="400" w:lineRule="exact"/>
              <w:jc w:val="left"/>
              <w:rPr>
                <w:rFonts w:hAnsi="仿宋_GB2312" w:cs="仿宋_GB2312"/>
                <w:sz w:val="24"/>
              </w:rPr>
            </w:pPr>
            <w:r>
              <w:rPr>
                <w:rFonts w:hint="eastAsia" w:hAnsi="仿宋_GB2312" w:cs="仿宋_GB2312"/>
                <w:sz w:val="24"/>
              </w:rPr>
              <w:t>2）服务实施措施较详细、合理，配送流程较周密、质量保障措施较科学，应急服务预案可操作性较强的计7分；</w:t>
            </w:r>
          </w:p>
          <w:p>
            <w:pPr>
              <w:spacing w:line="400" w:lineRule="exact"/>
              <w:jc w:val="left"/>
              <w:rPr>
                <w:rFonts w:hAnsi="仿宋_GB2312" w:cs="仿宋_GB2312"/>
                <w:sz w:val="24"/>
              </w:rPr>
            </w:pPr>
            <w:r>
              <w:rPr>
                <w:rFonts w:hint="eastAsia" w:hAnsi="仿宋_GB2312" w:cs="仿宋_GB2312"/>
                <w:sz w:val="24"/>
              </w:rPr>
              <w:t>3）服务实施措施一般、配送流程一般、应急服务预案可操作性较一般的计4分；</w:t>
            </w:r>
          </w:p>
          <w:p>
            <w:pPr>
              <w:spacing w:line="400" w:lineRule="exact"/>
              <w:jc w:val="left"/>
              <w:rPr>
                <w:rFonts w:hAnsi="仿宋_GB2312" w:cs="仿宋_GB2312"/>
                <w:sz w:val="24"/>
              </w:rPr>
            </w:pPr>
            <w:r>
              <w:rPr>
                <w:rFonts w:hint="eastAsia" w:hAnsi="仿宋_GB2312" w:cs="仿宋_GB2312"/>
                <w:sz w:val="24"/>
              </w:rPr>
              <w:t>4）此项未提供的计0分。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0"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配送车辆及专职人员</w:t>
            </w:r>
          </w:p>
          <w:p>
            <w:pPr>
              <w:spacing w:line="400" w:lineRule="exact"/>
              <w:jc w:val="center"/>
              <w:rPr>
                <w:rFonts w:hAnsi="仿宋_GB2312" w:cs="仿宋_GB2312"/>
                <w:sz w:val="24"/>
              </w:rPr>
            </w:pPr>
            <w:r>
              <w:rPr>
                <w:rFonts w:hint="eastAsia" w:hAnsi="仿宋_GB2312" w:cs="仿宋_GB2312"/>
                <w:sz w:val="24"/>
              </w:rPr>
              <w:t>（5分）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1）投标人具备自有且专门的配送物资车辆（数量至少1台），配置专职送货人员1名的计5分。</w:t>
            </w:r>
          </w:p>
          <w:p>
            <w:pPr>
              <w:spacing w:line="400" w:lineRule="exact"/>
              <w:jc w:val="left"/>
              <w:rPr>
                <w:rFonts w:hAnsi="仿宋_GB2312" w:cs="仿宋_GB2312"/>
                <w:sz w:val="24"/>
              </w:rPr>
            </w:pPr>
            <w:r>
              <w:rPr>
                <w:rFonts w:hint="eastAsia" w:hAnsi="仿宋_GB2312" w:cs="仿宋_GB2312"/>
                <w:sz w:val="24"/>
              </w:rPr>
              <w:t>2）投标人不具备自有配送车辆，但有租赁的车辆（数量至少1台）并配置专职送货人员1名的计2.5分。</w:t>
            </w:r>
          </w:p>
          <w:p>
            <w:pPr>
              <w:spacing w:line="400" w:lineRule="exact"/>
              <w:jc w:val="left"/>
              <w:rPr>
                <w:rFonts w:hAnsi="仿宋_GB2312" w:cs="仿宋_GB2312"/>
                <w:sz w:val="24"/>
              </w:rPr>
            </w:pPr>
            <w:r>
              <w:rPr>
                <w:rFonts w:hint="eastAsia" w:hAnsi="仿宋_GB2312" w:cs="仿宋_GB2312"/>
                <w:sz w:val="24"/>
              </w:rPr>
              <w:t>计分说明：本项最高计5分，上述配送车辆如为供应商自有的需提供车辆购置证明资料和送货人员的相关信息（姓名、联系电话）；车辆如为供应商租赁的，须提供车辆租赁协议和送货人员的相关信息（姓名、联系电话）；否则此项计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实施经验(成功案例)（10）</w:t>
            </w:r>
          </w:p>
        </w:tc>
        <w:tc>
          <w:tcPr>
            <w:tcW w:w="8398" w:type="dxa"/>
            <w:vAlign w:val="center"/>
          </w:tcPr>
          <w:p>
            <w:pPr>
              <w:spacing w:line="400" w:lineRule="exact"/>
              <w:jc w:val="left"/>
              <w:rPr>
                <w:rFonts w:hAnsi="仿宋_GB2312" w:cs="仿宋_GB2312"/>
                <w:sz w:val="24"/>
              </w:rPr>
            </w:pPr>
            <w:r>
              <w:rPr>
                <w:rFonts w:hint="eastAsia" w:hAnsi="仿宋_GB2312" w:cs="仿宋_GB2312"/>
                <w:sz w:val="24"/>
              </w:rPr>
              <w:t>投标人自2021年5月以来具有同类项目或类似项目实施经验，每提供一个项目成功案例的计2分，本项最高计10分。</w:t>
            </w:r>
          </w:p>
          <w:p>
            <w:pPr>
              <w:spacing w:line="400" w:lineRule="exact"/>
              <w:jc w:val="left"/>
              <w:rPr>
                <w:rFonts w:hAnsi="仿宋_GB2312" w:cs="仿宋_GB2312"/>
                <w:sz w:val="24"/>
              </w:rPr>
            </w:pPr>
            <w:r>
              <w:rPr>
                <w:rFonts w:hint="eastAsia" w:hAnsi="仿宋_GB2312" w:cs="仿宋_GB2312"/>
                <w:sz w:val="24"/>
              </w:rPr>
              <w:t>计分说明：供应商须在投标文件中提供合同文本复印件,否则应计分项计0分，相同采购单位只按一个计算。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体系认证</w:t>
            </w:r>
          </w:p>
          <w:p>
            <w:pPr>
              <w:spacing w:line="400" w:lineRule="exact"/>
              <w:jc w:val="center"/>
              <w:rPr>
                <w:rFonts w:hAnsi="仿宋_GB2312" w:cs="仿宋_GB2312"/>
                <w:sz w:val="24"/>
              </w:rPr>
            </w:pPr>
            <w:r>
              <w:rPr>
                <w:rFonts w:hint="eastAsia" w:hAnsi="仿宋_GB2312" w:cs="仿宋_GB2312"/>
                <w:sz w:val="24"/>
              </w:rPr>
              <w:t>（3分）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投标人具有并提供质量管理体系认证证书、环境管理体系认证证书、职业健康管理体系认证证书的计1分/项，最高计3分。</w:t>
            </w:r>
          </w:p>
          <w:p>
            <w:pPr>
              <w:spacing w:line="400" w:lineRule="exact"/>
              <w:jc w:val="left"/>
              <w:rPr>
                <w:rFonts w:hAnsi="仿宋_GB2312" w:cs="仿宋_GB2312"/>
                <w:sz w:val="24"/>
              </w:rPr>
            </w:pPr>
            <w:r>
              <w:rPr>
                <w:rFonts w:hint="eastAsia" w:hAnsi="仿宋_GB2312" w:cs="仿宋_GB2312"/>
                <w:sz w:val="24"/>
              </w:rPr>
              <w:t>计分说明：投标文件中须提供认证证书的复印件并加盖公章，否则应计分项计0分。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售后维护服务（7分）</w:t>
            </w:r>
          </w:p>
        </w:tc>
        <w:tc>
          <w:tcPr>
            <w:tcW w:w="8398" w:type="dxa"/>
            <w:vAlign w:val="center"/>
          </w:tcPr>
          <w:p>
            <w:pPr>
              <w:spacing w:line="400" w:lineRule="exact"/>
              <w:jc w:val="left"/>
              <w:rPr>
                <w:rFonts w:hAnsi="仿宋_GB2312" w:cs="仿宋_GB2312"/>
                <w:sz w:val="24"/>
              </w:rPr>
            </w:pPr>
            <w:r>
              <w:rPr>
                <w:rFonts w:hint="eastAsia" w:hAnsi="仿宋_GB2312" w:cs="仿宋_GB2312"/>
                <w:sz w:val="24"/>
              </w:rPr>
              <w:t>根据投标人提供的售后维护服务方案（包括但不限于：售后服务承诺、售后服务体系、售后服务团队、响应时间、应急维修措施等）进行综合评分：</w:t>
            </w:r>
          </w:p>
          <w:p>
            <w:pPr>
              <w:spacing w:line="400" w:lineRule="exact"/>
              <w:jc w:val="left"/>
              <w:rPr>
                <w:rFonts w:hAnsi="仿宋_GB2312" w:cs="仿宋_GB2312"/>
                <w:sz w:val="24"/>
              </w:rPr>
            </w:pPr>
            <w:r>
              <w:rPr>
                <w:rFonts w:hint="eastAsia" w:hAnsi="仿宋_GB2312" w:cs="仿宋_GB2312"/>
                <w:sz w:val="24"/>
              </w:rPr>
              <w:t>1）售后维护服务方案详细、科学合理、操作性及针对性强的计7分；</w:t>
            </w:r>
          </w:p>
          <w:p>
            <w:pPr>
              <w:spacing w:line="400" w:lineRule="exact"/>
              <w:jc w:val="left"/>
              <w:rPr>
                <w:rFonts w:hAnsi="仿宋_GB2312" w:cs="仿宋_GB2312"/>
                <w:sz w:val="24"/>
              </w:rPr>
            </w:pPr>
            <w:r>
              <w:rPr>
                <w:rFonts w:hint="eastAsia" w:hAnsi="仿宋_GB2312" w:cs="仿宋_GB2312"/>
                <w:sz w:val="24"/>
              </w:rPr>
              <w:t>2）售后维护服务方案较详细、较合理、操作性及针对性较强的计4分；</w:t>
            </w:r>
          </w:p>
          <w:p>
            <w:pPr>
              <w:spacing w:line="400" w:lineRule="exact"/>
              <w:jc w:val="left"/>
              <w:rPr>
                <w:rFonts w:hAnsi="仿宋_GB2312" w:cs="仿宋_GB2312"/>
                <w:sz w:val="24"/>
              </w:rPr>
            </w:pPr>
            <w:r>
              <w:rPr>
                <w:rFonts w:hint="eastAsia" w:hAnsi="仿宋_GB2312" w:cs="仿宋_GB2312"/>
                <w:sz w:val="24"/>
              </w:rPr>
              <w:t>3）售后维护服务方案简单、欠合理、操作性及针对性一般的计1分；</w:t>
            </w:r>
          </w:p>
          <w:p>
            <w:pPr>
              <w:spacing w:line="400" w:lineRule="exact"/>
              <w:jc w:val="left"/>
              <w:rPr>
                <w:rFonts w:hAnsi="仿宋_GB2312" w:cs="仿宋_GB2312"/>
                <w:sz w:val="24"/>
              </w:rPr>
            </w:pPr>
            <w:r>
              <w:rPr>
                <w:rFonts w:hint="eastAsia" w:hAnsi="仿宋_GB2312" w:cs="仿宋_GB2312"/>
                <w:sz w:val="24"/>
              </w:rPr>
              <w:t>4）此项未提供的计0分。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691" w:type="dxa"/>
            <w:vAlign w:val="center"/>
          </w:tcPr>
          <w:p>
            <w:pPr>
              <w:spacing w:line="400" w:lineRule="exact"/>
              <w:jc w:val="center"/>
              <w:rPr>
                <w:rFonts w:hAnsi="仿宋_GB2312" w:cs="仿宋_GB2312"/>
                <w:sz w:val="24"/>
              </w:rPr>
            </w:pPr>
            <w:r>
              <w:rPr>
                <w:rFonts w:hint="eastAsia" w:hAnsi="仿宋_GB2312" w:cs="仿宋_GB2312"/>
                <w:sz w:val="24"/>
              </w:rPr>
              <w:t>总分</w:t>
            </w:r>
          </w:p>
        </w:tc>
        <w:tc>
          <w:tcPr>
            <w:tcW w:w="8398" w:type="dxa"/>
            <w:vAlign w:val="center"/>
          </w:tcPr>
          <w:p>
            <w:pPr>
              <w:spacing w:line="400" w:lineRule="exact"/>
              <w:jc w:val="center"/>
              <w:rPr>
                <w:rFonts w:hAnsi="仿宋_GB2312" w:cs="仿宋_GB2312"/>
                <w:sz w:val="24"/>
              </w:rPr>
            </w:pPr>
            <w:r>
              <w:rPr>
                <w:rFonts w:hint="eastAsia" w:hAnsi="仿宋_GB2312" w:cs="仿宋_GB2312"/>
                <w:sz w:val="24"/>
              </w:rPr>
              <w:t>100分</w:t>
            </w:r>
          </w:p>
        </w:tc>
      </w:tr>
    </w:tbl>
    <w:p>
      <w:pPr>
        <w:spacing w:before="156" w:beforeLines="50" w:line="360" w:lineRule="auto"/>
        <w:ind w:firstLine="480" w:firstLineChars="200"/>
        <w:rPr>
          <w:rFonts w:ascii="宋体" w:hAnsi="宋体" w:cs="宋体"/>
          <w:sz w:val="24"/>
        </w:rPr>
      </w:pPr>
      <w:r>
        <w:rPr>
          <w:rFonts w:hint="eastAsia" w:ascii="宋体" w:hAnsi="宋体" w:cs="宋体"/>
          <w:sz w:val="24"/>
        </w:rPr>
        <w:t>2、有下述情况之一的，评标委员会应当认定其为不合格投标人：</w:t>
      </w:r>
    </w:p>
    <w:p>
      <w:pPr>
        <w:spacing w:line="360" w:lineRule="auto"/>
        <w:ind w:firstLine="480" w:firstLineChars="200"/>
        <w:rPr>
          <w:rFonts w:ascii="宋体" w:hAnsi="宋体" w:cs="宋体"/>
          <w:sz w:val="24"/>
        </w:rPr>
      </w:pPr>
      <w:r>
        <w:rPr>
          <w:rFonts w:hint="eastAsia" w:ascii="宋体" w:hAnsi="宋体" w:cs="宋体"/>
          <w:sz w:val="24"/>
        </w:rPr>
        <w:t>（1）比选投标文件未按招标文件规定要求加盖投标人公章的，或无企业法定代表人或法定代表人授权的代理人签字、盖章的；</w:t>
      </w:r>
    </w:p>
    <w:p>
      <w:pPr>
        <w:spacing w:line="360" w:lineRule="auto"/>
        <w:ind w:firstLine="480" w:firstLineChars="200"/>
        <w:rPr>
          <w:rFonts w:ascii="宋体" w:hAnsi="宋体" w:cs="宋体"/>
          <w:sz w:val="24"/>
        </w:rPr>
      </w:pPr>
      <w:r>
        <w:rPr>
          <w:rFonts w:hint="eastAsia" w:ascii="宋体" w:hAnsi="宋体" w:cs="宋体"/>
          <w:sz w:val="24"/>
        </w:rPr>
        <w:t>（2）授权委托书无投标人公章的，无企业法定代表人或法定代表人授权的代理人签字、盖章的，或授权时间无效的；</w:t>
      </w:r>
    </w:p>
    <w:p>
      <w:pPr>
        <w:spacing w:line="360" w:lineRule="auto"/>
        <w:ind w:firstLine="480" w:firstLineChars="200"/>
        <w:rPr>
          <w:rFonts w:ascii="宋体" w:hAnsi="宋体" w:cs="宋体"/>
          <w:sz w:val="24"/>
        </w:rPr>
      </w:pPr>
      <w:r>
        <w:rPr>
          <w:rFonts w:hint="eastAsia" w:ascii="宋体" w:hAnsi="宋体" w:cs="宋体"/>
          <w:sz w:val="24"/>
        </w:rPr>
        <w:t xml:space="preserve">（3）不具备招标文件中规定资格要求的； </w:t>
      </w:r>
    </w:p>
    <w:p>
      <w:pPr>
        <w:spacing w:line="360" w:lineRule="auto"/>
        <w:ind w:firstLine="480" w:firstLineChars="200"/>
        <w:rPr>
          <w:rFonts w:ascii="宋体" w:hAnsi="宋体" w:cs="宋体"/>
          <w:sz w:val="24"/>
        </w:rPr>
      </w:pPr>
      <w:r>
        <w:rPr>
          <w:rFonts w:hint="eastAsia" w:ascii="宋体" w:hAnsi="宋体" w:cs="宋体"/>
          <w:sz w:val="24"/>
        </w:rPr>
        <w:t>（4）投标人递交两份或多份内容不同的投标文件的；</w:t>
      </w:r>
    </w:p>
    <w:p>
      <w:pPr>
        <w:spacing w:line="360" w:lineRule="auto"/>
        <w:ind w:firstLine="480" w:firstLineChars="200"/>
        <w:rPr>
          <w:rFonts w:ascii="宋体" w:hAnsi="宋体" w:cs="宋体"/>
          <w:sz w:val="24"/>
        </w:rPr>
      </w:pPr>
      <w:r>
        <w:rPr>
          <w:rFonts w:hint="eastAsia" w:ascii="宋体" w:hAnsi="宋体" w:cs="宋体"/>
          <w:sz w:val="24"/>
        </w:rPr>
        <w:t>（5）以行贿手段谋取中标或者不如实提供有关情况、文件、证明等资料及以其他弄虚作假方式投标的；</w:t>
      </w:r>
    </w:p>
    <w:p>
      <w:pPr>
        <w:spacing w:line="360" w:lineRule="auto"/>
        <w:ind w:firstLine="480" w:firstLineChars="200"/>
        <w:rPr>
          <w:rFonts w:ascii="宋体" w:hAnsi="宋体" w:cs="宋体"/>
          <w:sz w:val="24"/>
        </w:rPr>
      </w:pPr>
      <w:r>
        <w:rPr>
          <w:rFonts w:hint="eastAsia" w:ascii="宋体" w:hAnsi="宋体" w:cs="宋体"/>
          <w:sz w:val="24"/>
        </w:rPr>
        <w:t>（6）其它不符合法律法规和招标文件相关形式规定的；</w:t>
      </w:r>
    </w:p>
    <w:p>
      <w:pPr>
        <w:spacing w:line="360" w:lineRule="auto"/>
        <w:ind w:firstLine="480" w:firstLineChars="200"/>
        <w:rPr>
          <w:rFonts w:ascii="宋体" w:hAnsi="宋体" w:cs="宋体"/>
          <w:sz w:val="24"/>
        </w:rPr>
      </w:pPr>
      <w:r>
        <w:rPr>
          <w:rFonts w:hint="eastAsia" w:ascii="宋体" w:hAnsi="宋体" w:cs="宋体"/>
          <w:sz w:val="24"/>
        </w:rPr>
        <w:t>3、评标委员会应当就投标文件中存在不明确或细微偏差的内容，要求投标人予以澄清、说明或者补正。澄清、说明或者补正应在评标结束前以书面方式提交，并不得超出投标文件范围或者改变投标文件的实质性内容，澄清、说明或者补正的书面材料应当由投标人的法定代表人或其授权的委托代理人签字或盖章。评标委员会不得接受投标人主动提出的澄清、说明或补正。</w:t>
      </w:r>
    </w:p>
    <w:p>
      <w:pPr>
        <w:spacing w:line="360" w:lineRule="auto"/>
        <w:ind w:firstLine="480" w:firstLineChars="200"/>
        <w:rPr>
          <w:rFonts w:ascii="宋体" w:hAnsi="宋体" w:cs="宋体"/>
          <w:sz w:val="24"/>
        </w:rPr>
      </w:pPr>
      <w:r>
        <w:rPr>
          <w:rFonts w:hint="eastAsia" w:ascii="宋体" w:hAnsi="宋体" w:cs="宋体"/>
          <w:sz w:val="24"/>
        </w:rPr>
        <w:t>4、经评标委员会评审，所有投标文件均被否决的，招标人应当依法重新招标。</w:t>
      </w:r>
    </w:p>
    <w:p>
      <w:pPr>
        <w:spacing w:line="360" w:lineRule="auto"/>
        <w:ind w:firstLine="482" w:firstLineChars="200"/>
      </w:pPr>
      <w:r>
        <w:rPr>
          <w:rFonts w:hint="eastAsia" w:ascii="宋体" w:hAnsi="宋体" w:cs="宋体"/>
          <w:b/>
          <w:bCs/>
          <w:sz w:val="24"/>
        </w:rPr>
        <w:t>本评标办法仅适用于本项目。</w:t>
      </w:r>
    </w:p>
    <w:p/>
    <w:sectPr>
      <w:headerReference r:id="rId3" w:type="default"/>
      <w:pgSz w:w="11906" w:h="16838"/>
      <w:pgMar w:top="1440" w:right="1134"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wordWrap w:val="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97D05D"/>
    <w:multiLevelType w:val="singleLevel"/>
    <w:tmpl w:val="C497D05D"/>
    <w:lvl w:ilvl="0" w:tentative="0">
      <w:start w:val="1"/>
      <w:numFmt w:val="chineseCounting"/>
      <w:suff w:val="nothing"/>
      <w:lvlText w:val="（%1）"/>
      <w:lvlJc w:val="left"/>
      <w:rPr>
        <w:rFonts w:hint="eastAsia"/>
      </w:rPr>
    </w:lvl>
  </w:abstractNum>
  <w:abstractNum w:abstractNumId="1">
    <w:nsid w:val="687E66C0"/>
    <w:multiLevelType w:val="multilevel"/>
    <w:tmpl w:val="687E66C0"/>
    <w:lvl w:ilvl="0" w:tentative="0">
      <w:start w:val="2"/>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6AA1644E"/>
    <w:multiLevelType w:val="multilevel"/>
    <w:tmpl w:val="6AA1644E"/>
    <w:lvl w:ilvl="0" w:tentative="0">
      <w:start w:val="1"/>
      <w:numFmt w:val="decimal"/>
      <w:lvlText w:val="%1、"/>
      <w:lvlJc w:val="left"/>
      <w:pPr>
        <w:ind w:left="928" w:hanging="360"/>
      </w:pPr>
      <w:rPr>
        <w:rFonts w:hint="default"/>
      </w:rPr>
    </w:lvl>
    <w:lvl w:ilvl="1" w:tentative="0">
      <w:start w:val="2"/>
      <w:numFmt w:val="japaneseCounting"/>
      <w:lvlText w:val="%2、"/>
      <w:lvlJc w:val="left"/>
      <w:pPr>
        <w:ind w:left="808" w:hanging="480"/>
      </w:pPr>
      <w:rPr>
        <w:rFonts w:hint="default"/>
      </w:r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abstractNum w:abstractNumId="3">
    <w:nsid w:val="786DF8C2"/>
    <w:multiLevelType w:val="singleLevel"/>
    <w:tmpl w:val="786DF8C2"/>
    <w:lvl w:ilvl="0" w:tentative="0">
      <w:start w:val="8"/>
      <w:numFmt w:val="chineseCounting"/>
      <w:suff w:val="nothing"/>
      <w:lvlText w:val="%1、"/>
      <w:lvlJc w:val="left"/>
      <w:rPr>
        <w:rFonts w:hint="eastAsia"/>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JiYWU1NDI5NGUwMzE1MmRmNzE3ZmE2MGU1NjQ5NjMifQ=="/>
  </w:docVars>
  <w:rsids>
    <w:rsidRoot w:val="007C7C41"/>
    <w:rsid w:val="0002432A"/>
    <w:rsid w:val="00026832"/>
    <w:rsid w:val="00033FB9"/>
    <w:rsid w:val="0004220C"/>
    <w:rsid w:val="000B4AC9"/>
    <w:rsid w:val="000C0006"/>
    <w:rsid w:val="000C2AAD"/>
    <w:rsid w:val="000C4FCD"/>
    <w:rsid w:val="000C7B07"/>
    <w:rsid w:val="000D17C4"/>
    <w:rsid w:val="000D2C1F"/>
    <w:rsid w:val="000E208E"/>
    <w:rsid w:val="000E22D8"/>
    <w:rsid w:val="000E2FCA"/>
    <w:rsid w:val="000E3EB7"/>
    <w:rsid w:val="000E6B0E"/>
    <w:rsid w:val="000F59A8"/>
    <w:rsid w:val="00103E0F"/>
    <w:rsid w:val="001041D4"/>
    <w:rsid w:val="001056D9"/>
    <w:rsid w:val="001111B1"/>
    <w:rsid w:val="001112DE"/>
    <w:rsid w:val="00113DE3"/>
    <w:rsid w:val="001229C1"/>
    <w:rsid w:val="001378A6"/>
    <w:rsid w:val="001407DC"/>
    <w:rsid w:val="00147AE1"/>
    <w:rsid w:val="001508AD"/>
    <w:rsid w:val="00176BAF"/>
    <w:rsid w:val="001819C1"/>
    <w:rsid w:val="00185494"/>
    <w:rsid w:val="0019333A"/>
    <w:rsid w:val="00193DEB"/>
    <w:rsid w:val="001B2139"/>
    <w:rsid w:val="001C3297"/>
    <w:rsid w:val="001D36D3"/>
    <w:rsid w:val="001F5991"/>
    <w:rsid w:val="001F7DBC"/>
    <w:rsid w:val="00202942"/>
    <w:rsid w:val="002053A9"/>
    <w:rsid w:val="00206640"/>
    <w:rsid w:val="00215E79"/>
    <w:rsid w:val="00220D7A"/>
    <w:rsid w:val="00226141"/>
    <w:rsid w:val="0023261F"/>
    <w:rsid w:val="00255D4A"/>
    <w:rsid w:val="00265E3A"/>
    <w:rsid w:val="00266420"/>
    <w:rsid w:val="002802E5"/>
    <w:rsid w:val="00282FA9"/>
    <w:rsid w:val="002837F0"/>
    <w:rsid w:val="00285835"/>
    <w:rsid w:val="00291B18"/>
    <w:rsid w:val="002A4AE2"/>
    <w:rsid w:val="002B187F"/>
    <w:rsid w:val="002B2B07"/>
    <w:rsid w:val="002C024E"/>
    <w:rsid w:val="002C2671"/>
    <w:rsid w:val="002E247B"/>
    <w:rsid w:val="002F6DB9"/>
    <w:rsid w:val="00311AEF"/>
    <w:rsid w:val="0033452A"/>
    <w:rsid w:val="003409D6"/>
    <w:rsid w:val="00342556"/>
    <w:rsid w:val="00350BE7"/>
    <w:rsid w:val="00354EDA"/>
    <w:rsid w:val="003552E1"/>
    <w:rsid w:val="00361DF5"/>
    <w:rsid w:val="00376BAC"/>
    <w:rsid w:val="003839A4"/>
    <w:rsid w:val="00384497"/>
    <w:rsid w:val="003961FC"/>
    <w:rsid w:val="003978F7"/>
    <w:rsid w:val="003B018F"/>
    <w:rsid w:val="003C2587"/>
    <w:rsid w:val="003E08E9"/>
    <w:rsid w:val="00404AB4"/>
    <w:rsid w:val="004070A8"/>
    <w:rsid w:val="00414168"/>
    <w:rsid w:val="004225D5"/>
    <w:rsid w:val="004244CC"/>
    <w:rsid w:val="00434A15"/>
    <w:rsid w:val="00444647"/>
    <w:rsid w:val="004470A7"/>
    <w:rsid w:val="004473FA"/>
    <w:rsid w:val="00460139"/>
    <w:rsid w:val="004628AB"/>
    <w:rsid w:val="00463B93"/>
    <w:rsid w:val="004719E3"/>
    <w:rsid w:val="00474429"/>
    <w:rsid w:val="004841A8"/>
    <w:rsid w:val="00494B92"/>
    <w:rsid w:val="004A0F69"/>
    <w:rsid w:val="004A2598"/>
    <w:rsid w:val="004A47B4"/>
    <w:rsid w:val="004A4A1C"/>
    <w:rsid w:val="004B69EE"/>
    <w:rsid w:val="004C683A"/>
    <w:rsid w:val="004D1E1D"/>
    <w:rsid w:val="004D35B2"/>
    <w:rsid w:val="004D683E"/>
    <w:rsid w:val="004E1784"/>
    <w:rsid w:val="004E1F26"/>
    <w:rsid w:val="004E7358"/>
    <w:rsid w:val="004F3BA6"/>
    <w:rsid w:val="00500610"/>
    <w:rsid w:val="0050263D"/>
    <w:rsid w:val="005038C5"/>
    <w:rsid w:val="005076FA"/>
    <w:rsid w:val="00507808"/>
    <w:rsid w:val="005206B0"/>
    <w:rsid w:val="00521121"/>
    <w:rsid w:val="005279A6"/>
    <w:rsid w:val="00534A9A"/>
    <w:rsid w:val="005411A6"/>
    <w:rsid w:val="005421CC"/>
    <w:rsid w:val="005425BD"/>
    <w:rsid w:val="00544DAD"/>
    <w:rsid w:val="00547CE3"/>
    <w:rsid w:val="005568FC"/>
    <w:rsid w:val="0057247C"/>
    <w:rsid w:val="00585B71"/>
    <w:rsid w:val="005A3261"/>
    <w:rsid w:val="005C2A6D"/>
    <w:rsid w:val="005E016F"/>
    <w:rsid w:val="005E12CB"/>
    <w:rsid w:val="005E5FC7"/>
    <w:rsid w:val="005F18D3"/>
    <w:rsid w:val="005F19DE"/>
    <w:rsid w:val="005F3395"/>
    <w:rsid w:val="005F6E1B"/>
    <w:rsid w:val="005F6FA4"/>
    <w:rsid w:val="006101E4"/>
    <w:rsid w:val="0061359D"/>
    <w:rsid w:val="0061607C"/>
    <w:rsid w:val="00616524"/>
    <w:rsid w:val="00630078"/>
    <w:rsid w:val="00630D30"/>
    <w:rsid w:val="00632ED3"/>
    <w:rsid w:val="00634053"/>
    <w:rsid w:val="00636D2E"/>
    <w:rsid w:val="006377EA"/>
    <w:rsid w:val="0065340C"/>
    <w:rsid w:val="00655E0C"/>
    <w:rsid w:val="0067546C"/>
    <w:rsid w:val="0068371B"/>
    <w:rsid w:val="006A056B"/>
    <w:rsid w:val="006B274D"/>
    <w:rsid w:val="006B5265"/>
    <w:rsid w:val="006C0664"/>
    <w:rsid w:val="006E407C"/>
    <w:rsid w:val="006F43C4"/>
    <w:rsid w:val="00700865"/>
    <w:rsid w:val="00706CE7"/>
    <w:rsid w:val="00711BA2"/>
    <w:rsid w:val="00712128"/>
    <w:rsid w:val="00712F84"/>
    <w:rsid w:val="007154F1"/>
    <w:rsid w:val="00722BBF"/>
    <w:rsid w:val="00731F69"/>
    <w:rsid w:val="00743CAF"/>
    <w:rsid w:val="00750DC3"/>
    <w:rsid w:val="0077399D"/>
    <w:rsid w:val="00773AC8"/>
    <w:rsid w:val="00785A55"/>
    <w:rsid w:val="007A6C65"/>
    <w:rsid w:val="007B01B3"/>
    <w:rsid w:val="007B05D1"/>
    <w:rsid w:val="007C7C41"/>
    <w:rsid w:val="007D2559"/>
    <w:rsid w:val="007D4892"/>
    <w:rsid w:val="007D6D66"/>
    <w:rsid w:val="007D6E0E"/>
    <w:rsid w:val="007E0833"/>
    <w:rsid w:val="007E2D27"/>
    <w:rsid w:val="00801062"/>
    <w:rsid w:val="0080583D"/>
    <w:rsid w:val="00810469"/>
    <w:rsid w:val="00813A79"/>
    <w:rsid w:val="00825689"/>
    <w:rsid w:val="00826C2A"/>
    <w:rsid w:val="008462E7"/>
    <w:rsid w:val="00853DB7"/>
    <w:rsid w:val="008655EF"/>
    <w:rsid w:val="00870587"/>
    <w:rsid w:val="00874BFD"/>
    <w:rsid w:val="00877D26"/>
    <w:rsid w:val="00885372"/>
    <w:rsid w:val="00885BB1"/>
    <w:rsid w:val="008A10B6"/>
    <w:rsid w:val="008A5D13"/>
    <w:rsid w:val="008B48B2"/>
    <w:rsid w:val="008E54DB"/>
    <w:rsid w:val="008E66EB"/>
    <w:rsid w:val="00903C20"/>
    <w:rsid w:val="00906CC5"/>
    <w:rsid w:val="00921051"/>
    <w:rsid w:val="00927127"/>
    <w:rsid w:val="009368D3"/>
    <w:rsid w:val="00937D1C"/>
    <w:rsid w:val="00951FAE"/>
    <w:rsid w:val="00961C65"/>
    <w:rsid w:val="00965F15"/>
    <w:rsid w:val="009754C8"/>
    <w:rsid w:val="00986D1F"/>
    <w:rsid w:val="00990BF4"/>
    <w:rsid w:val="009A1D1C"/>
    <w:rsid w:val="009B35B4"/>
    <w:rsid w:val="009B5FB6"/>
    <w:rsid w:val="009F136A"/>
    <w:rsid w:val="009F30ED"/>
    <w:rsid w:val="00A12750"/>
    <w:rsid w:val="00A16F7A"/>
    <w:rsid w:val="00A20E43"/>
    <w:rsid w:val="00A23BA5"/>
    <w:rsid w:val="00A35BB7"/>
    <w:rsid w:val="00A37FF5"/>
    <w:rsid w:val="00A42360"/>
    <w:rsid w:val="00A5392D"/>
    <w:rsid w:val="00A53A34"/>
    <w:rsid w:val="00A566D5"/>
    <w:rsid w:val="00A6087D"/>
    <w:rsid w:val="00A74CD8"/>
    <w:rsid w:val="00A77A98"/>
    <w:rsid w:val="00A81F44"/>
    <w:rsid w:val="00A91450"/>
    <w:rsid w:val="00A95092"/>
    <w:rsid w:val="00AA145B"/>
    <w:rsid w:val="00AB4256"/>
    <w:rsid w:val="00AC45ED"/>
    <w:rsid w:val="00AC51EC"/>
    <w:rsid w:val="00AD6534"/>
    <w:rsid w:val="00B0175F"/>
    <w:rsid w:val="00B22937"/>
    <w:rsid w:val="00B3412E"/>
    <w:rsid w:val="00B35BE1"/>
    <w:rsid w:val="00B37B00"/>
    <w:rsid w:val="00B52059"/>
    <w:rsid w:val="00B56A7F"/>
    <w:rsid w:val="00B60011"/>
    <w:rsid w:val="00B66748"/>
    <w:rsid w:val="00B7493C"/>
    <w:rsid w:val="00B81ED0"/>
    <w:rsid w:val="00B87532"/>
    <w:rsid w:val="00B931B4"/>
    <w:rsid w:val="00BA2B80"/>
    <w:rsid w:val="00BB0BBD"/>
    <w:rsid w:val="00BC6CD8"/>
    <w:rsid w:val="00BD0325"/>
    <w:rsid w:val="00BD487B"/>
    <w:rsid w:val="00BE0D00"/>
    <w:rsid w:val="00BE125F"/>
    <w:rsid w:val="00BF5E60"/>
    <w:rsid w:val="00C10E71"/>
    <w:rsid w:val="00C30043"/>
    <w:rsid w:val="00C56430"/>
    <w:rsid w:val="00C73F58"/>
    <w:rsid w:val="00CA2BEB"/>
    <w:rsid w:val="00CB7695"/>
    <w:rsid w:val="00CC512E"/>
    <w:rsid w:val="00CC68B0"/>
    <w:rsid w:val="00CD6C9C"/>
    <w:rsid w:val="00CF1803"/>
    <w:rsid w:val="00D069B4"/>
    <w:rsid w:val="00D159D5"/>
    <w:rsid w:val="00D1625A"/>
    <w:rsid w:val="00D379A2"/>
    <w:rsid w:val="00D42DED"/>
    <w:rsid w:val="00D70A69"/>
    <w:rsid w:val="00D75527"/>
    <w:rsid w:val="00D80103"/>
    <w:rsid w:val="00D85CA0"/>
    <w:rsid w:val="00D93253"/>
    <w:rsid w:val="00D9421F"/>
    <w:rsid w:val="00DA061F"/>
    <w:rsid w:val="00DA340E"/>
    <w:rsid w:val="00DA67B2"/>
    <w:rsid w:val="00DB2CAE"/>
    <w:rsid w:val="00DB5AB0"/>
    <w:rsid w:val="00DF2E12"/>
    <w:rsid w:val="00E17DCF"/>
    <w:rsid w:val="00E17F55"/>
    <w:rsid w:val="00E250FD"/>
    <w:rsid w:val="00E271E4"/>
    <w:rsid w:val="00E31455"/>
    <w:rsid w:val="00E51E05"/>
    <w:rsid w:val="00E538A7"/>
    <w:rsid w:val="00E53E1A"/>
    <w:rsid w:val="00E561F7"/>
    <w:rsid w:val="00E63107"/>
    <w:rsid w:val="00E72E7B"/>
    <w:rsid w:val="00E73810"/>
    <w:rsid w:val="00E8275B"/>
    <w:rsid w:val="00E92D41"/>
    <w:rsid w:val="00EA3476"/>
    <w:rsid w:val="00ED2FB9"/>
    <w:rsid w:val="00ED7572"/>
    <w:rsid w:val="00ED7CA5"/>
    <w:rsid w:val="00EE4071"/>
    <w:rsid w:val="00EF202B"/>
    <w:rsid w:val="00EF4C05"/>
    <w:rsid w:val="00F02122"/>
    <w:rsid w:val="00F10332"/>
    <w:rsid w:val="00F25A37"/>
    <w:rsid w:val="00F43369"/>
    <w:rsid w:val="00F5622E"/>
    <w:rsid w:val="00F74538"/>
    <w:rsid w:val="00F7673C"/>
    <w:rsid w:val="00F87DB3"/>
    <w:rsid w:val="00F93939"/>
    <w:rsid w:val="00FB3354"/>
    <w:rsid w:val="00FB34C2"/>
    <w:rsid w:val="00FB54AC"/>
    <w:rsid w:val="00FB6547"/>
    <w:rsid w:val="00FB69EE"/>
    <w:rsid w:val="00FB6DDB"/>
    <w:rsid w:val="00FB71AB"/>
    <w:rsid w:val="00FB7D38"/>
    <w:rsid w:val="00FC53F2"/>
    <w:rsid w:val="00FE2A63"/>
    <w:rsid w:val="00FF2603"/>
    <w:rsid w:val="024018DF"/>
    <w:rsid w:val="04114082"/>
    <w:rsid w:val="045F6B9B"/>
    <w:rsid w:val="06C9325F"/>
    <w:rsid w:val="093926A6"/>
    <w:rsid w:val="0C446C4A"/>
    <w:rsid w:val="0D3317AF"/>
    <w:rsid w:val="0F081287"/>
    <w:rsid w:val="111451B1"/>
    <w:rsid w:val="11AA79EB"/>
    <w:rsid w:val="11C702E0"/>
    <w:rsid w:val="12476873"/>
    <w:rsid w:val="13AD22D8"/>
    <w:rsid w:val="13FA30C4"/>
    <w:rsid w:val="145F6D78"/>
    <w:rsid w:val="14ED3D4F"/>
    <w:rsid w:val="15DD1DF8"/>
    <w:rsid w:val="1703305D"/>
    <w:rsid w:val="19996254"/>
    <w:rsid w:val="1B943177"/>
    <w:rsid w:val="1C0E2CEB"/>
    <w:rsid w:val="1C6019B5"/>
    <w:rsid w:val="1CB15175"/>
    <w:rsid w:val="1D4871EB"/>
    <w:rsid w:val="1DED3012"/>
    <w:rsid w:val="1E6A6074"/>
    <w:rsid w:val="21482DD7"/>
    <w:rsid w:val="215D592A"/>
    <w:rsid w:val="24AC4A25"/>
    <w:rsid w:val="26A54C67"/>
    <w:rsid w:val="2A166BC1"/>
    <w:rsid w:val="2D6F69C0"/>
    <w:rsid w:val="31647D66"/>
    <w:rsid w:val="358A2DE4"/>
    <w:rsid w:val="36993C98"/>
    <w:rsid w:val="36A42976"/>
    <w:rsid w:val="371A4C8C"/>
    <w:rsid w:val="3744399B"/>
    <w:rsid w:val="38136454"/>
    <w:rsid w:val="3AE971A8"/>
    <w:rsid w:val="3B0F6ACC"/>
    <w:rsid w:val="3BEE6177"/>
    <w:rsid w:val="3D422619"/>
    <w:rsid w:val="3EC5400E"/>
    <w:rsid w:val="3EEF109D"/>
    <w:rsid w:val="40E43974"/>
    <w:rsid w:val="40E616BA"/>
    <w:rsid w:val="433D6BDD"/>
    <w:rsid w:val="4349552E"/>
    <w:rsid w:val="4390748B"/>
    <w:rsid w:val="45EE264F"/>
    <w:rsid w:val="47EE40E5"/>
    <w:rsid w:val="47F87C39"/>
    <w:rsid w:val="49CA0BFE"/>
    <w:rsid w:val="49FF0303"/>
    <w:rsid w:val="4A834B18"/>
    <w:rsid w:val="4B386DCB"/>
    <w:rsid w:val="507A645F"/>
    <w:rsid w:val="507C67F8"/>
    <w:rsid w:val="50C55DBA"/>
    <w:rsid w:val="53871716"/>
    <w:rsid w:val="53A33245"/>
    <w:rsid w:val="53B31AE1"/>
    <w:rsid w:val="54F16ABB"/>
    <w:rsid w:val="55603AEE"/>
    <w:rsid w:val="564B20A8"/>
    <w:rsid w:val="586340B6"/>
    <w:rsid w:val="597B5CF8"/>
    <w:rsid w:val="5CE13DF9"/>
    <w:rsid w:val="5D7E5824"/>
    <w:rsid w:val="5E524C34"/>
    <w:rsid w:val="5EB804F7"/>
    <w:rsid w:val="60C04E5C"/>
    <w:rsid w:val="62AD0052"/>
    <w:rsid w:val="62FF4946"/>
    <w:rsid w:val="645E6340"/>
    <w:rsid w:val="665146E0"/>
    <w:rsid w:val="66A61F9B"/>
    <w:rsid w:val="68175E2B"/>
    <w:rsid w:val="68320EBE"/>
    <w:rsid w:val="68840209"/>
    <w:rsid w:val="696372E0"/>
    <w:rsid w:val="6CCB679F"/>
    <w:rsid w:val="6D7825A4"/>
    <w:rsid w:val="6D8F68C7"/>
    <w:rsid w:val="7151042E"/>
    <w:rsid w:val="727C7561"/>
    <w:rsid w:val="7505283D"/>
    <w:rsid w:val="76A0780E"/>
    <w:rsid w:val="777D621D"/>
    <w:rsid w:val="7D415502"/>
    <w:rsid w:val="7EC116BC"/>
    <w:rsid w:val="7F081990"/>
    <w:rsid w:val="7F9E08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nhideWhenUsed="0" w:uiPriority="0" w:semiHidden="0" w:name="Body Text First Indent 2"/>
    <w:lsdException w:uiPriority="0" w:name="Note Heading"/>
    <w:lsdException w:qFormat="1" w:unhideWhenUsed="0" w:uiPriority="0" w:semiHidden="0" w:name="Body Text 2"/>
    <w:lsdException w:uiPriority="0" w:name="Body Text 3"/>
    <w:lsdException w:qFormat="1" w:unhideWhenUsed="0" w:uiPriority="99" w:semiHidden="0" w:name="Body Text Indent 2"/>
    <w:lsdException w:uiPriority="0" w:name="Body Text Indent 3"/>
    <w:lsdException w:uiPriority="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autoRedefine/>
    <w:qFormat/>
    <w:uiPriority w:val="0"/>
    <w:pPr>
      <w:jc w:val="center"/>
      <w:outlineLvl w:val="0"/>
    </w:pPr>
    <w:rPr>
      <w:szCs w:val="20"/>
    </w:rPr>
  </w:style>
  <w:style w:type="paragraph" w:styleId="4">
    <w:name w:val="heading 2"/>
    <w:basedOn w:val="1"/>
    <w:next w:val="1"/>
    <w:link w:val="86"/>
    <w:autoRedefine/>
    <w:qFormat/>
    <w:uiPriority w:val="0"/>
    <w:pPr>
      <w:keepNext/>
      <w:keepLines/>
      <w:spacing w:line="360" w:lineRule="auto"/>
      <w:outlineLvl w:val="1"/>
    </w:pPr>
    <w:rPr>
      <w:rFonts w:ascii="Arial" w:hAnsi="Arial"/>
      <w:b/>
      <w:bCs/>
      <w:sz w:val="24"/>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customStyle="1" w:styleId="2">
    <w:name w:val="样式2"/>
    <w:basedOn w:val="3"/>
    <w:next w:val="1"/>
    <w:autoRedefine/>
    <w:qFormat/>
    <w:uiPriority w:val="0"/>
  </w:style>
  <w:style w:type="paragraph" w:styleId="5">
    <w:name w:val="Normal Indent"/>
    <w:basedOn w:val="1"/>
    <w:next w:val="6"/>
    <w:autoRedefine/>
    <w:qFormat/>
    <w:uiPriority w:val="0"/>
    <w:pPr>
      <w:ind w:firstLine="420" w:firstLineChars="200"/>
    </w:pPr>
    <w:rPr>
      <w:rFonts w:ascii="Calibri" w:hAnsi="Calibri"/>
      <w:sz w:val="24"/>
      <w:szCs w:val="22"/>
    </w:rPr>
  </w:style>
  <w:style w:type="paragraph" w:customStyle="1" w:styleId="6">
    <w:name w:val="Default"/>
    <w:autoRedefine/>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7">
    <w:name w:val="annotation text"/>
    <w:basedOn w:val="1"/>
    <w:link w:val="90"/>
    <w:autoRedefine/>
    <w:semiHidden/>
    <w:unhideWhenUsed/>
    <w:qFormat/>
    <w:uiPriority w:val="0"/>
    <w:pPr>
      <w:jc w:val="left"/>
    </w:pPr>
  </w:style>
  <w:style w:type="paragraph" w:styleId="8">
    <w:name w:val="Body Text"/>
    <w:basedOn w:val="1"/>
    <w:link w:val="87"/>
    <w:autoRedefine/>
    <w:qFormat/>
    <w:uiPriority w:val="0"/>
    <w:pPr>
      <w:spacing w:after="120"/>
    </w:pPr>
  </w:style>
  <w:style w:type="paragraph" w:styleId="9">
    <w:name w:val="Body Text Indent"/>
    <w:basedOn w:val="1"/>
    <w:next w:val="10"/>
    <w:link w:val="82"/>
    <w:autoRedefine/>
    <w:qFormat/>
    <w:uiPriority w:val="0"/>
    <w:pPr>
      <w:adjustRightInd w:val="0"/>
      <w:snapToGrid w:val="0"/>
      <w:spacing w:line="360" w:lineRule="atLeast"/>
      <w:ind w:firstLine="480"/>
    </w:pPr>
    <w:rPr>
      <w:sz w:val="24"/>
    </w:rPr>
  </w:style>
  <w:style w:type="paragraph" w:styleId="10">
    <w:name w:val="annotation subject"/>
    <w:basedOn w:val="7"/>
    <w:next w:val="1"/>
    <w:link w:val="91"/>
    <w:autoRedefine/>
    <w:semiHidden/>
    <w:unhideWhenUsed/>
    <w:qFormat/>
    <w:uiPriority w:val="0"/>
    <w:rPr>
      <w:b/>
      <w:bCs/>
    </w:rPr>
  </w:style>
  <w:style w:type="paragraph" w:styleId="11">
    <w:name w:val="Body Text Indent 2"/>
    <w:basedOn w:val="1"/>
    <w:autoRedefine/>
    <w:qFormat/>
    <w:uiPriority w:val="99"/>
    <w:pPr>
      <w:spacing w:after="120" w:line="480" w:lineRule="auto"/>
      <w:ind w:left="420" w:leftChars="200"/>
    </w:pPr>
    <w:rPr>
      <w:kern w:val="0"/>
      <w:sz w:val="24"/>
    </w:rPr>
  </w:style>
  <w:style w:type="paragraph" w:styleId="12">
    <w:name w:val="Balloon Text"/>
    <w:basedOn w:val="1"/>
    <w:autoRedefine/>
    <w:semiHidden/>
    <w:qFormat/>
    <w:uiPriority w:val="0"/>
    <w:rPr>
      <w:sz w:val="18"/>
      <w:szCs w:val="18"/>
    </w:rPr>
  </w:style>
  <w:style w:type="paragraph" w:styleId="13">
    <w:name w:val="footer"/>
    <w:basedOn w:val="1"/>
    <w:autoRedefine/>
    <w:qFormat/>
    <w:uiPriority w:val="0"/>
    <w:pPr>
      <w:tabs>
        <w:tab w:val="center" w:pos="4153"/>
        <w:tab w:val="right" w:pos="8306"/>
      </w:tabs>
      <w:snapToGrid w:val="0"/>
      <w:jc w:val="left"/>
    </w:pPr>
    <w:rPr>
      <w:sz w:val="18"/>
      <w:szCs w:val="18"/>
    </w:rPr>
  </w:style>
  <w:style w:type="paragraph" w:styleId="1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autoRedefine/>
    <w:unhideWhenUsed/>
    <w:qFormat/>
    <w:uiPriority w:val="39"/>
  </w:style>
  <w:style w:type="paragraph" w:styleId="16">
    <w:name w:val="Body Text 2"/>
    <w:basedOn w:val="1"/>
    <w:link w:val="84"/>
    <w:autoRedefine/>
    <w:qFormat/>
    <w:uiPriority w:val="0"/>
    <w:pPr>
      <w:spacing w:after="120" w:line="480" w:lineRule="auto"/>
    </w:pPr>
  </w:style>
  <w:style w:type="paragraph" w:styleId="17">
    <w:name w:val="Normal (Web)"/>
    <w:basedOn w:val="1"/>
    <w:autoRedefine/>
    <w:qFormat/>
    <w:uiPriority w:val="99"/>
    <w:pPr>
      <w:widowControl/>
      <w:spacing w:before="100" w:beforeAutospacing="1" w:after="100" w:afterAutospacing="1"/>
      <w:jc w:val="left"/>
    </w:pPr>
    <w:rPr>
      <w:rFonts w:ascii="宋体" w:hAnsi="宋体"/>
      <w:kern w:val="0"/>
      <w:sz w:val="24"/>
    </w:rPr>
  </w:style>
  <w:style w:type="paragraph" w:styleId="18">
    <w:name w:val="Body Text First Indent 2"/>
    <w:basedOn w:val="9"/>
    <w:next w:val="1"/>
    <w:link w:val="83"/>
    <w:autoRedefine/>
    <w:qFormat/>
    <w:uiPriority w:val="0"/>
    <w:pPr>
      <w:adjustRightInd/>
      <w:snapToGrid/>
      <w:spacing w:after="120" w:line="240" w:lineRule="auto"/>
      <w:ind w:left="420" w:leftChars="200" w:firstLine="420" w:firstLineChars="200"/>
    </w:pPr>
    <w:rPr>
      <w:sz w:val="21"/>
    </w:rPr>
  </w:style>
  <w:style w:type="table" w:styleId="20">
    <w:name w:val="Table Grid"/>
    <w:basedOn w:val="19"/>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autoRedefine/>
    <w:qFormat/>
    <w:uiPriority w:val="0"/>
  </w:style>
  <w:style w:type="character" w:styleId="23">
    <w:name w:val="FollowedHyperlink"/>
    <w:autoRedefine/>
    <w:unhideWhenUsed/>
    <w:qFormat/>
    <w:uiPriority w:val="99"/>
    <w:rPr>
      <w:color w:val="800080"/>
      <w:u w:val="single"/>
    </w:rPr>
  </w:style>
  <w:style w:type="character" w:styleId="24">
    <w:name w:val="Emphasis"/>
    <w:autoRedefine/>
    <w:qFormat/>
    <w:uiPriority w:val="0"/>
    <w:rPr>
      <w:color w:val="CC0000"/>
    </w:rPr>
  </w:style>
  <w:style w:type="character" w:styleId="25">
    <w:name w:val="Hyperlink"/>
    <w:autoRedefine/>
    <w:qFormat/>
    <w:uiPriority w:val="99"/>
    <w:rPr>
      <w:color w:val="990000"/>
      <w:sz w:val="18"/>
      <w:szCs w:val="18"/>
      <w:u w:val="none"/>
    </w:rPr>
  </w:style>
  <w:style w:type="character" w:styleId="26">
    <w:name w:val="annotation reference"/>
    <w:basedOn w:val="21"/>
    <w:autoRedefine/>
    <w:semiHidden/>
    <w:unhideWhenUsed/>
    <w:qFormat/>
    <w:uiPriority w:val="0"/>
    <w:rPr>
      <w:sz w:val="21"/>
      <w:szCs w:val="21"/>
    </w:rPr>
  </w:style>
  <w:style w:type="character" w:customStyle="1" w:styleId="27">
    <w:name w:val="style21"/>
    <w:autoRedefine/>
    <w:qFormat/>
    <w:uiPriority w:val="0"/>
    <w:rPr>
      <w:sz w:val="22"/>
      <w:szCs w:val="22"/>
    </w:rPr>
  </w:style>
  <w:style w:type="character" w:customStyle="1" w:styleId="28">
    <w:name w:val="font21"/>
    <w:autoRedefine/>
    <w:qFormat/>
    <w:uiPriority w:val="0"/>
    <w:rPr>
      <w:rFonts w:hint="eastAsia" w:ascii="宋体" w:hAnsi="宋体" w:eastAsia="宋体" w:cs="宋体"/>
      <w:color w:val="000000"/>
      <w:sz w:val="20"/>
      <w:szCs w:val="20"/>
      <w:u w:val="none"/>
    </w:rPr>
  </w:style>
  <w:style w:type="character" w:customStyle="1" w:styleId="29">
    <w:name w:val="font41"/>
    <w:autoRedefine/>
    <w:qFormat/>
    <w:uiPriority w:val="0"/>
    <w:rPr>
      <w:rFonts w:ascii="微软雅黑" w:hAnsi="微软雅黑" w:eastAsia="微软雅黑" w:cs="微软雅黑"/>
      <w:b/>
      <w:color w:val="000000"/>
      <w:sz w:val="40"/>
      <w:szCs w:val="40"/>
      <w:u w:val="none"/>
    </w:rPr>
  </w:style>
  <w:style w:type="character" w:customStyle="1" w:styleId="30">
    <w:name w:val="font01"/>
    <w:autoRedefine/>
    <w:qFormat/>
    <w:uiPriority w:val="0"/>
    <w:rPr>
      <w:rFonts w:hint="eastAsia" w:ascii="宋体" w:hAnsi="宋体" w:eastAsia="宋体" w:cs="宋体"/>
      <w:color w:val="000000"/>
      <w:sz w:val="22"/>
      <w:szCs w:val="22"/>
      <w:u w:val="none"/>
    </w:rPr>
  </w:style>
  <w:style w:type="character" w:customStyle="1" w:styleId="31">
    <w:name w:val="font31"/>
    <w:autoRedefine/>
    <w:qFormat/>
    <w:uiPriority w:val="0"/>
    <w:rPr>
      <w:rFonts w:hint="eastAsia" w:ascii="微软雅黑" w:hAnsi="微软雅黑" w:eastAsia="微软雅黑" w:cs="微软雅黑"/>
      <w:color w:val="000000"/>
      <w:sz w:val="20"/>
      <w:szCs w:val="20"/>
      <w:u w:val="none"/>
    </w:rPr>
  </w:style>
  <w:style w:type="paragraph" w:customStyle="1" w:styleId="32">
    <w:name w:val="font5"/>
    <w:basedOn w:val="1"/>
    <w:autoRedefine/>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33">
    <w:name w:val="font6"/>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4">
    <w:name w:val="font7"/>
    <w:basedOn w:val="1"/>
    <w:autoRedefine/>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35">
    <w:name w:val="font8"/>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4"/>
    </w:rPr>
  </w:style>
  <w:style w:type="paragraph" w:customStyle="1" w:styleId="37">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8">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9">
    <w:name w:val="xl7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ahoma" w:hAnsi="Tahoma" w:cs="Tahoma"/>
      <w:color w:val="000000"/>
      <w:kern w:val="0"/>
      <w:sz w:val="24"/>
    </w:rPr>
  </w:style>
  <w:style w:type="paragraph" w:customStyle="1" w:styleId="40">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1">
    <w:name w:val="xl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4"/>
    </w:rPr>
  </w:style>
  <w:style w:type="paragraph" w:customStyle="1" w:styleId="42">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3">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color w:val="000000"/>
      <w:kern w:val="0"/>
      <w:sz w:val="24"/>
    </w:rPr>
  </w:style>
  <w:style w:type="paragraph" w:customStyle="1" w:styleId="44">
    <w:name w:val="xl8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45">
    <w:name w:val="xl8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46">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7">
    <w:name w:val="xl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8">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9">
    <w:name w:val="xl8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0">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1">
    <w:name w:val="xl8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52">
    <w:name w:val="xl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3">
    <w:name w:val="xl9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4">
    <w:name w:val="xl9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24"/>
    </w:rPr>
  </w:style>
  <w:style w:type="paragraph" w:customStyle="1" w:styleId="55">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6">
    <w:name w:val="xl9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333333"/>
      <w:kern w:val="0"/>
      <w:sz w:val="24"/>
    </w:rPr>
  </w:style>
  <w:style w:type="paragraph" w:customStyle="1" w:styleId="57">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24"/>
    </w:rPr>
  </w:style>
  <w:style w:type="paragraph" w:customStyle="1" w:styleId="58">
    <w:name w:val="xl9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kern w:val="0"/>
      <w:sz w:val="24"/>
    </w:rPr>
  </w:style>
  <w:style w:type="paragraph" w:customStyle="1" w:styleId="59">
    <w:name w:val="xl9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0">
    <w:name w:val="xl9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top"/>
    </w:pPr>
    <w:rPr>
      <w:rFonts w:ascii="宋体" w:hAnsi="宋体" w:cs="宋体"/>
      <w:color w:val="000000"/>
      <w:kern w:val="0"/>
      <w:sz w:val="24"/>
    </w:rPr>
  </w:style>
  <w:style w:type="paragraph" w:customStyle="1" w:styleId="61">
    <w:name w:val="xl9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宋体" w:hAnsi="宋体" w:cs="宋体"/>
      <w:color w:val="000000"/>
      <w:kern w:val="0"/>
      <w:sz w:val="24"/>
    </w:rPr>
  </w:style>
  <w:style w:type="paragraph" w:customStyle="1" w:styleId="62">
    <w:name w:val="xl9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3">
    <w:name w:val="xl10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4">
    <w:name w:val="xl10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kern w:val="0"/>
      <w:sz w:val="24"/>
    </w:rPr>
  </w:style>
  <w:style w:type="paragraph" w:customStyle="1" w:styleId="65">
    <w:name w:val="xl102"/>
    <w:basedOn w:val="1"/>
    <w:autoRedefine/>
    <w:qFormat/>
    <w:uiPriority w:val="0"/>
    <w:pPr>
      <w:widowControl/>
      <w:spacing w:before="100" w:beforeAutospacing="1" w:after="100" w:afterAutospacing="1"/>
      <w:jc w:val="center"/>
    </w:pPr>
    <w:rPr>
      <w:rFonts w:ascii="宋体" w:hAnsi="宋体" w:cs="宋体"/>
      <w:kern w:val="0"/>
      <w:sz w:val="24"/>
    </w:rPr>
  </w:style>
  <w:style w:type="paragraph" w:customStyle="1" w:styleId="66">
    <w:name w:val="xl10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67">
    <w:name w:val="xl10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b/>
      <w:bCs/>
      <w:kern w:val="0"/>
      <w:sz w:val="24"/>
    </w:rPr>
  </w:style>
  <w:style w:type="paragraph" w:customStyle="1" w:styleId="68">
    <w:name w:val="xl10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b/>
      <w:bCs/>
      <w:color w:val="000000"/>
      <w:kern w:val="0"/>
      <w:sz w:val="24"/>
    </w:rPr>
  </w:style>
  <w:style w:type="paragraph" w:customStyle="1" w:styleId="69">
    <w:name w:val="xl106"/>
    <w:basedOn w:val="1"/>
    <w:autoRedefine/>
    <w:qFormat/>
    <w:uiPriority w:val="0"/>
    <w:pPr>
      <w:widowControl/>
      <w:spacing w:before="100" w:beforeAutospacing="1" w:after="100" w:afterAutospacing="1"/>
      <w:jc w:val="center"/>
    </w:pPr>
    <w:rPr>
      <w:rFonts w:ascii="宋体" w:hAnsi="宋体" w:cs="宋体"/>
      <w:b/>
      <w:bCs/>
      <w:kern w:val="0"/>
      <w:sz w:val="24"/>
    </w:rPr>
  </w:style>
  <w:style w:type="paragraph" w:customStyle="1" w:styleId="70">
    <w:name w:val="xl107"/>
    <w:basedOn w:val="1"/>
    <w:autoRedefine/>
    <w:qFormat/>
    <w:uiPriority w:val="0"/>
    <w:pPr>
      <w:widowControl/>
      <w:spacing w:before="100" w:beforeAutospacing="1" w:after="100" w:afterAutospacing="1"/>
      <w:jc w:val="left"/>
      <w:textAlignment w:val="bottom"/>
    </w:pPr>
    <w:rPr>
      <w:rFonts w:ascii="宋体" w:hAnsi="宋体" w:cs="宋体"/>
      <w:kern w:val="0"/>
      <w:sz w:val="22"/>
      <w:szCs w:val="22"/>
    </w:rPr>
  </w:style>
  <w:style w:type="paragraph" w:customStyle="1" w:styleId="71">
    <w:name w:val="xl10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2"/>
      <w:szCs w:val="22"/>
    </w:rPr>
  </w:style>
  <w:style w:type="paragraph" w:customStyle="1" w:styleId="72">
    <w:name w:val="xl109"/>
    <w:basedOn w:val="1"/>
    <w:autoRedefine/>
    <w:qFormat/>
    <w:uiPriority w:val="0"/>
    <w:pPr>
      <w:widowControl/>
      <w:pBdr>
        <w:bottom w:val="single" w:color="auto" w:sz="4" w:space="0"/>
      </w:pBdr>
      <w:spacing w:before="100" w:beforeAutospacing="1" w:after="100" w:afterAutospacing="1"/>
      <w:jc w:val="center"/>
    </w:pPr>
    <w:rPr>
      <w:rFonts w:ascii="宋体" w:hAnsi="宋体" w:cs="宋体"/>
      <w:b/>
      <w:bCs/>
      <w:kern w:val="0"/>
      <w:sz w:val="32"/>
      <w:szCs w:val="32"/>
    </w:rPr>
  </w:style>
  <w:style w:type="paragraph" w:customStyle="1" w:styleId="73">
    <w:name w:val="xl110"/>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22"/>
      <w:szCs w:val="22"/>
    </w:rPr>
  </w:style>
  <w:style w:type="paragraph" w:customStyle="1" w:styleId="74">
    <w:name w:val="xl111"/>
    <w:basedOn w:val="1"/>
    <w:autoRedefine/>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kern w:val="0"/>
      <w:sz w:val="22"/>
      <w:szCs w:val="22"/>
    </w:rPr>
  </w:style>
  <w:style w:type="paragraph" w:customStyle="1" w:styleId="75">
    <w:name w:val="xl112"/>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szCs w:val="22"/>
    </w:rPr>
  </w:style>
  <w:style w:type="paragraph" w:customStyle="1" w:styleId="76">
    <w:name w:val="xl11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character" w:customStyle="1" w:styleId="77">
    <w:name w:val="font51"/>
    <w:basedOn w:val="21"/>
    <w:autoRedefine/>
    <w:qFormat/>
    <w:uiPriority w:val="0"/>
    <w:rPr>
      <w:rFonts w:hint="eastAsia" w:ascii="宋体" w:hAnsi="宋体" w:eastAsia="宋体" w:cs="宋体"/>
      <w:color w:val="000000"/>
      <w:sz w:val="24"/>
      <w:szCs w:val="24"/>
      <w:u w:val="none"/>
    </w:rPr>
  </w:style>
  <w:style w:type="character" w:customStyle="1" w:styleId="78">
    <w:name w:val="font81"/>
    <w:basedOn w:val="21"/>
    <w:autoRedefine/>
    <w:qFormat/>
    <w:uiPriority w:val="0"/>
    <w:rPr>
      <w:rFonts w:hint="eastAsia" w:ascii="宋体" w:hAnsi="宋体" w:eastAsia="宋体" w:cs="宋体"/>
      <w:color w:val="000000"/>
      <w:sz w:val="24"/>
      <w:szCs w:val="24"/>
      <w:u w:val="none"/>
    </w:rPr>
  </w:style>
  <w:style w:type="character" w:customStyle="1" w:styleId="79">
    <w:name w:val="font151"/>
    <w:basedOn w:val="21"/>
    <w:autoRedefine/>
    <w:qFormat/>
    <w:uiPriority w:val="0"/>
    <w:rPr>
      <w:rFonts w:hint="eastAsia" w:ascii="宋体" w:hAnsi="宋体" w:eastAsia="宋体" w:cs="宋体"/>
      <w:b/>
      <w:bCs/>
      <w:color w:val="000000"/>
      <w:sz w:val="24"/>
      <w:szCs w:val="24"/>
      <w:u w:val="none"/>
    </w:rPr>
  </w:style>
  <w:style w:type="character" w:customStyle="1" w:styleId="80">
    <w:name w:val="font161"/>
    <w:basedOn w:val="21"/>
    <w:autoRedefine/>
    <w:qFormat/>
    <w:uiPriority w:val="0"/>
    <w:rPr>
      <w:rFonts w:hint="eastAsia" w:ascii="宋体" w:hAnsi="宋体" w:eastAsia="宋体" w:cs="宋体"/>
      <w:b/>
      <w:bCs/>
      <w:color w:val="000000"/>
      <w:sz w:val="22"/>
      <w:szCs w:val="22"/>
      <w:u w:val="none"/>
    </w:rPr>
  </w:style>
  <w:style w:type="paragraph" w:styleId="81">
    <w:name w:val="List Paragraph"/>
    <w:basedOn w:val="1"/>
    <w:autoRedefine/>
    <w:unhideWhenUsed/>
    <w:qFormat/>
    <w:uiPriority w:val="99"/>
    <w:pPr>
      <w:ind w:firstLine="420" w:firstLineChars="200"/>
    </w:pPr>
  </w:style>
  <w:style w:type="character" w:customStyle="1" w:styleId="82">
    <w:name w:val="正文文本缩进 字符"/>
    <w:basedOn w:val="21"/>
    <w:link w:val="9"/>
    <w:autoRedefine/>
    <w:qFormat/>
    <w:uiPriority w:val="0"/>
    <w:rPr>
      <w:kern w:val="2"/>
      <w:sz w:val="24"/>
      <w:szCs w:val="24"/>
    </w:rPr>
  </w:style>
  <w:style w:type="character" w:customStyle="1" w:styleId="83">
    <w:name w:val="正文文本首行缩进 2 字符"/>
    <w:basedOn w:val="82"/>
    <w:link w:val="18"/>
    <w:autoRedefine/>
    <w:qFormat/>
    <w:uiPriority w:val="0"/>
    <w:rPr>
      <w:kern w:val="2"/>
      <w:sz w:val="24"/>
      <w:szCs w:val="24"/>
    </w:rPr>
  </w:style>
  <w:style w:type="character" w:customStyle="1" w:styleId="84">
    <w:name w:val="正文文本 2 字符"/>
    <w:basedOn w:val="21"/>
    <w:link w:val="16"/>
    <w:autoRedefine/>
    <w:qFormat/>
    <w:uiPriority w:val="0"/>
    <w:rPr>
      <w:kern w:val="2"/>
      <w:sz w:val="21"/>
      <w:szCs w:val="24"/>
    </w:rPr>
  </w:style>
  <w:style w:type="paragraph" w:customStyle="1" w:styleId="85">
    <w:name w:val="列表段落1"/>
    <w:basedOn w:val="1"/>
    <w:autoRedefine/>
    <w:qFormat/>
    <w:uiPriority w:val="99"/>
    <w:pPr>
      <w:widowControl/>
      <w:spacing w:before="50" w:after="50" w:line="400" w:lineRule="exact"/>
      <w:ind w:left="720"/>
      <w:contextualSpacing/>
      <w:jc w:val="left"/>
    </w:pPr>
    <w:rPr>
      <w:kern w:val="0"/>
      <w:sz w:val="24"/>
    </w:rPr>
  </w:style>
  <w:style w:type="character" w:customStyle="1" w:styleId="86">
    <w:name w:val="标题 2 字符"/>
    <w:basedOn w:val="21"/>
    <w:link w:val="4"/>
    <w:autoRedefine/>
    <w:qFormat/>
    <w:uiPriority w:val="0"/>
    <w:rPr>
      <w:rFonts w:ascii="Arial" w:hAnsi="Arial"/>
      <w:b/>
      <w:bCs/>
      <w:kern w:val="2"/>
      <w:sz w:val="24"/>
      <w:szCs w:val="32"/>
    </w:rPr>
  </w:style>
  <w:style w:type="character" w:customStyle="1" w:styleId="87">
    <w:name w:val="正文文本 字符"/>
    <w:basedOn w:val="21"/>
    <w:link w:val="8"/>
    <w:autoRedefine/>
    <w:qFormat/>
    <w:uiPriority w:val="0"/>
    <w:rPr>
      <w:kern w:val="2"/>
      <w:sz w:val="21"/>
      <w:szCs w:val="24"/>
    </w:rPr>
  </w:style>
  <w:style w:type="paragraph" w:customStyle="1" w:styleId="88">
    <w:name w:val="EndnoteText"/>
    <w:basedOn w:val="1"/>
    <w:autoRedefine/>
    <w:qFormat/>
    <w:uiPriority w:val="0"/>
  </w:style>
  <w:style w:type="paragraph" w:customStyle="1" w:styleId="89">
    <w:name w:val="[基本段落]"/>
    <w:autoRedefine/>
    <w:qFormat/>
    <w:uiPriority w:val="99"/>
    <w:pPr>
      <w:widowControl w:val="0"/>
      <w:autoSpaceDE w:val="0"/>
      <w:autoSpaceDN w:val="0"/>
      <w:adjustRightInd w:val="0"/>
      <w:spacing w:line="288" w:lineRule="auto"/>
      <w:jc w:val="both"/>
      <w:textAlignment w:val="center"/>
    </w:pPr>
    <w:rPr>
      <w:rFonts w:ascii="宋体" w:hAnsi="Calibri" w:eastAsia="宋体" w:cs="Times New Roman"/>
      <w:color w:val="000000"/>
      <w:kern w:val="2"/>
      <w:sz w:val="24"/>
      <w:lang w:val="zh-CN" w:eastAsia="zh-CN" w:bidi="ar-SA"/>
    </w:rPr>
  </w:style>
  <w:style w:type="character" w:customStyle="1" w:styleId="90">
    <w:name w:val="批注文字 字符"/>
    <w:basedOn w:val="21"/>
    <w:link w:val="7"/>
    <w:autoRedefine/>
    <w:semiHidden/>
    <w:qFormat/>
    <w:uiPriority w:val="0"/>
    <w:rPr>
      <w:kern w:val="2"/>
      <w:sz w:val="21"/>
      <w:szCs w:val="24"/>
    </w:rPr>
  </w:style>
  <w:style w:type="character" w:customStyle="1" w:styleId="91">
    <w:name w:val="批注主题 字符"/>
    <w:basedOn w:val="90"/>
    <w:link w:val="10"/>
    <w:autoRedefine/>
    <w:semiHidden/>
    <w:qFormat/>
    <w:uiPriority w:val="0"/>
    <w:rPr>
      <w:b/>
      <w:bCs/>
      <w:kern w:val="2"/>
      <w:sz w:val="21"/>
      <w:szCs w:val="24"/>
    </w:rPr>
  </w:style>
  <w:style w:type="character" w:customStyle="1" w:styleId="92">
    <w:name w:val="15"/>
    <w:autoRedefine/>
    <w:qFormat/>
    <w:uiPriority w:val="0"/>
    <w:rPr>
      <w:rFonts w:hint="default" w:ascii="Times New Roman" w:hAnsi="Times New Roman" w:cs="Times New Roman"/>
      <w:color w:val="0000FF"/>
      <w:u w:val="single"/>
    </w:rPr>
  </w:style>
  <w:style w:type="paragraph" w:customStyle="1" w:styleId="93">
    <w:name w:val="Normal_42"/>
    <w:qFormat/>
    <w:uiPriority w:val="0"/>
    <w:rPr>
      <w:rFonts w:ascii="Times New Roman" w:hAnsi="Times New Roman" w:eastAsia="Times New Roman" w:cs="Times New Roman"/>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25C7C0-2B6D-4A4D-8B98-D5D76F8894D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26</Pages>
  <Words>13593</Words>
  <Characters>14225</Characters>
  <Lines>115</Lines>
  <Paragraphs>32</Paragraphs>
  <TotalTime>0</TotalTime>
  <ScaleCrop>false</ScaleCrop>
  <LinksUpToDate>false</LinksUpToDate>
  <CharactersWithSpaces>15046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2024-04-19T03:55:00Z</dcterms:created>
  <dc:creator>jwc</dc:creator>
  <cp:lastModifiedBy>茜茜坨</cp:lastModifiedBy>
  <cp:lastPrinted>2009-02-17T01:24:00Z</cp:lastPrinted>
  <dcterms:modified xsi:type="dcterms:W3CDTF">2024-06-26T07:15:13Z</dcterms:modified>
  <dc:title>湖南科技大学2005-2006年教材招标</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FFC84D6AC419408C8543C6D88F8F7068_13</vt:lpwstr>
  </property>
</Properties>
</file>