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宋体" w:hAnsi="宋体" w:cs="宋体"/>
          <w:kern w:val="0"/>
          <w:sz w:val="24"/>
        </w:rPr>
      </w:pPr>
      <w:r>
        <w:rPr>
          <w:rFonts w:hint="eastAsia" w:ascii="宋体" w:hAnsi="宋体" w:cs="宋体"/>
          <w:kern w:val="0"/>
          <w:sz w:val="24"/>
        </w:rPr>
        <w:t xml:space="preserve">                                                      </w:t>
      </w:r>
    </w:p>
    <w:p>
      <w:pPr>
        <w:jc w:val="center"/>
        <w:rPr>
          <w:rFonts w:eastAsia="黑体"/>
          <w:sz w:val="36"/>
        </w:rPr>
      </w:pPr>
    </w:p>
    <w:p>
      <w:pPr>
        <w:jc w:val="center"/>
        <w:rPr>
          <w:rFonts w:eastAsia="黑体"/>
          <w:b/>
          <w:sz w:val="52"/>
          <w:szCs w:val="52"/>
        </w:rPr>
      </w:pPr>
      <w:bookmarkStart w:id="0" w:name="_Hlk160805985"/>
      <w:r>
        <w:rPr>
          <w:rFonts w:hint="eastAsia" w:eastAsia="黑体"/>
          <w:b/>
          <w:sz w:val="52"/>
          <w:szCs w:val="52"/>
        </w:rPr>
        <w:t>湖南化工职业技术学院</w:t>
      </w:r>
    </w:p>
    <w:bookmarkEnd w:id="0"/>
    <w:p>
      <w:pPr>
        <w:jc w:val="center"/>
      </w:pPr>
      <w:bookmarkStart w:id="1" w:name="_Hlk160805974"/>
      <w:r>
        <w:rPr>
          <w:rFonts w:hint="eastAsia" w:eastAsia="黑体"/>
          <w:b/>
          <w:sz w:val="52"/>
          <w:szCs w:val="52"/>
        </w:rPr>
        <w:t>2024年</w:t>
      </w:r>
      <w:r>
        <w:rPr>
          <w:rFonts w:hint="eastAsia" w:ascii="黑体" w:hAnsi="黑体" w:eastAsia="黑体" w:cs="黑体"/>
          <w:b/>
          <w:bCs/>
          <w:sz w:val="48"/>
          <w:szCs w:val="48"/>
          <w:lang w:eastAsia="zh-CN"/>
        </w:rPr>
        <w:t>学校重要活动文化用品采购项目</w:t>
      </w:r>
    </w:p>
    <w:bookmarkEnd w:id="1"/>
    <w:p/>
    <w:p>
      <w:pPr>
        <w:spacing w:before="312" w:beforeLines="100"/>
        <w:jc w:val="center"/>
        <w:rPr>
          <w:rFonts w:ascii="黑体" w:hAnsi="黑体" w:eastAsia="黑体" w:cs="黑体"/>
          <w:sz w:val="84"/>
          <w:szCs w:val="84"/>
        </w:rPr>
      </w:pPr>
      <w:r>
        <w:rPr>
          <w:rFonts w:hint="eastAsia" w:ascii="黑体" w:hAnsi="黑体" w:eastAsia="黑体" w:cs="黑体"/>
          <w:sz w:val="84"/>
          <w:szCs w:val="84"/>
        </w:rPr>
        <w:t>比选文件</w:t>
      </w:r>
    </w:p>
    <w:p/>
    <w:p/>
    <w:p/>
    <w:p/>
    <w:p/>
    <w:p/>
    <w:p/>
    <w:p/>
    <w:p/>
    <w:p/>
    <w:p/>
    <w:p/>
    <w:p/>
    <w:p/>
    <w:p/>
    <w:p/>
    <w:p/>
    <w:p/>
    <w:p/>
    <w:p/>
    <w:p/>
    <w:p/>
    <w:p/>
    <w:p>
      <w:pPr>
        <w:jc w:val="center"/>
        <w:rPr>
          <w:sz w:val="32"/>
        </w:rPr>
      </w:pPr>
      <w:r>
        <w:rPr>
          <w:rFonts w:hint="eastAsia"/>
          <w:sz w:val="32"/>
        </w:rPr>
        <w:t>202</w:t>
      </w:r>
      <w:r>
        <w:rPr>
          <w:sz w:val="32"/>
        </w:rPr>
        <w:t>4</w:t>
      </w:r>
      <w:r>
        <w:rPr>
          <w:rFonts w:hint="eastAsia"/>
          <w:sz w:val="32"/>
        </w:rPr>
        <w:t>年3月</w:t>
      </w:r>
    </w:p>
    <w:p/>
    <w:p/>
    <w:p/>
    <w:p>
      <w:pPr>
        <w:widowControl/>
        <w:spacing w:line="360" w:lineRule="auto"/>
        <w:jc w:val="center"/>
        <w:rPr>
          <w:rFonts w:ascii="宋体" w:hAnsi="宋体" w:cs="宋体"/>
          <w:b/>
          <w:color w:val="FF0000"/>
          <w:kern w:val="0"/>
          <w:sz w:val="36"/>
          <w:szCs w:val="36"/>
        </w:rPr>
      </w:pPr>
      <w:r>
        <w:rPr>
          <w:rFonts w:hint="eastAsia" w:ascii="宋体" w:hAnsi="宋体" w:cs="宋体"/>
          <w:b/>
          <w:color w:val="FF0000"/>
          <w:kern w:val="0"/>
          <w:sz w:val="36"/>
          <w:szCs w:val="36"/>
        </w:rPr>
        <w:t>湖南化工职业技术学院</w:t>
      </w:r>
    </w:p>
    <w:p>
      <w:pPr>
        <w:widowControl/>
        <w:spacing w:line="360" w:lineRule="auto"/>
        <w:jc w:val="center"/>
        <w:rPr>
          <w:rFonts w:ascii="宋体" w:hAnsi="宋体" w:cs="宋体"/>
          <w:b/>
          <w:color w:val="FF0000"/>
          <w:kern w:val="0"/>
          <w:sz w:val="36"/>
          <w:szCs w:val="36"/>
        </w:rPr>
      </w:pPr>
      <w:bookmarkStart w:id="2" w:name="_Hlk160806041"/>
      <w:r>
        <w:rPr>
          <w:rFonts w:hint="eastAsia" w:ascii="宋体" w:hAnsi="宋体" w:cs="宋体"/>
          <w:b/>
          <w:color w:val="FF0000"/>
          <w:kern w:val="0"/>
          <w:sz w:val="36"/>
          <w:szCs w:val="36"/>
        </w:rPr>
        <w:t>2024年</w:t>
      </w:r>
      <w:r>
        <w:rPr>
          <w:rFonts w:hint="eastAsia" w:ascii="宋体" w:hAnsi="宋体" w:cs="宋体"/>
          <w:b/>
          <w:color w:val="FF0000"/>
          <w:kern w:val="0"/>
          <w:sz w:val="36"/>
          <w:szCs w:val="36"/>
          <w:lang w:eastAsia="zh-CN"/>
        </w:rPr>
        <w:t>学校重要活动文化用品采购</w:t>
      </w:r>
    </w:p>
    <w:bookmarkEnd w:id="2"/>
    <w:p>
      <w:pPr>
        <w:widowControl/>
        <w:spacing w:line="360" w:lineRule="auto"/>
        <w:jc w:val="center"/>
        <w:rPr>
          <w:rFonts w:ascii="宋体" w:hAnsi="宋体" w:cs="宋体"/>
          <w:b/>
          <w:color w:val="FF0000"/>
          <w:kern w:val="0"/>
          <w:sz w:val="36"/>
          <w:szCs w:val="36"/>
        </w:rPr>
      </w:pPr>
      <w:r>
        <w:rPr>
          <w:rFonts w:hint="eastAsia" w:ascii="宋体" w:hAnsi="宋体" w:cs="宋体"/>
          <w:b/>
          <w:color w:val="FF0000"/>
          <w:kern w:val="0"/>
          <w:sz w:val="36"/>
          <w:szCs w:val="36"/>
        </w:rPr>
        <w:t>比选公告</w:t>
      </w:r>
    </w:p>
    <w:p>
      <w:pPr>
        <w:widowControl/>
        <w:spacing w:before="124" w:beforeLines="40" w:after="124" w:afterLines="40"/>
        <w:ind w:firstLine="360" w:firstLineChars="150"/>
        <w:rPr>
          <w:rFonts w:ascii="宋体" w:hAnsi="宋体" w:cs="宋体"/>
          <w:color w:val="000000"/>
          <w:kern w:val="0"/>
          <w:sz w:val="24"/>
        </w:rPr>
      </w:pPr>
      <w:r>
        <w:rPr>
          <w:rFonts w:ascii="宋体" w:hAnsi="宋体" w:cs="宋体"/>
          <w:color w:val="000000"/>
          <w:kern w:val="0"/>
          <w:sz w:val="24"/>
        </w:rPr>
        <w:t>根据《湖南</w:t>
      </w:r>
      <w:r>
        <w:rPr>
          <w:rFonts w:hint="eastAsia" w:ascii="宋体" w:hAnsi="宋体" w:cs="宋体"/>
          <w:color w:val="000000"/>
          <w:kern w:val="0"/>
          <w:sz w:val="24"/>
        </w:rPr>
        <w:t>化工职业技术学院</w:t>
      </w:r>
      <w:r>
        <w:rPr>
          <w:rFonts w:ascii="宋体" w:hAnsi="宋体" w:cs="宋体"/>
          <w:color w:val="000000"/>
          <w:kern w:val="0"/>
          <w:sz w:val="24"/>
        </w:rPr>
        <w:t>招</w:t>
      </w:r>
      <w:r>
        <w:rPr>
          <w:rFonts w:hint="eastAsia" w:ascii="宋体" w:hAnsi="宋体" w:cs="宋体"/>
          <w:color w:val="000000"/>
          <w:kern w:val="0"/>
          <w:sz w:val="24"/>
        </w:rPr>
        <w:t>投</w:t>
      </w:r>
      <w:r>
        <w:rPr>
          <w:rFonts w:ascii="宋体" w:hAnsi="宋体" w:cs="宋体"/>
          <w:color w:val="000000"/>
          <w:kern w:val="0"/>
          <w:sz w:val="24"/>
        </w:rPr>
        <w:t>标管理办法》，</w:t>
      </w:r>
      <w:r>
        <w:rPr>
          <w:rFonts w:hint="eastAsia" w:ascii="宋体" w:hAnsi="宋体" w:cs="宋体"/>
          <w:color w:val="000000"/>
          <w:kern w:val="0"/>
          <w:sz w:val="24"/>
        </w:rPr>
        <w:t>我院</w:t>
      </w:r>
      <w:r>
        <w:rPr>
          <w:rFonts w:ascii="宋体" w:hAnsi="宋体" w:cs="宋体"/>
          <w:color w:val="000000"/>
          <w:kern w:val="0"/>
          <w:sz w:val="24"/>
        </w:rPr>
        <w:t>拟对</w:t>
      </w:r>
      <w:r>
        <w:rPr>
          <w:rFonts w:hint="eastAsia" w:ascii="宋体" w:hAnsi="宋体" w:cs="宋体"/>
          <w:color w:val="000000"/>
          <w:kern w:val="0"/>
          <w:sz w:val="24"/>
        </w:rPr>
        <w:t>2024年</w:t>
      </w:r>
      <w:r>
        <w:rPr>
          <w:rFonts w:hint="eastAsia" w:ascii="宋体" w:hAnsi="宋体" w:cs="宋体"/>
          <w:color w:val="000000"/>
          <w:kern w:val="0"/>
          <w:sz w:val="24"/>
          <w:lang w:eastAsia="zh-CN"/>
        </w:rPr>
        <w:t>学校重要活动文化用品采购</w:t>
      </w:r>
      <w:r>
        <w:rPr>
          <w:rFonts w:hint="eastAsia" w:ascii="宋体" w:hAnsi="宋体" w:cs="宋体"/>
          <w:color w:val="000000"/>
          <w:kern w:val="0"/>
          <w:sz w:val="24"/>
        </w:rPr>
        <w:t>项目</w:t>
      </w:r>
      <w:r>
        <w:rPr>
          <w:rFonts w:ascii="宋体" w:hAnsi="宋体" w:cs="宋体"/>
          <w:color w:val="000000"/>
          <w:kern w:val="0"/>
          <w:sz w:val="24"/>
        </w:rPr>
        <w:t>进行招标，现将招投标工作事宜公告如下：</w:t>
      </w:r>
    </w:p>
    <w:p>
      <w:pPr>
        <w:widowControl/>
        <w:numPr>
          <w:ilvl w:val="0"/>
          <w:numId w:val="1"/>
        </w:numPr>
        <w:spacing w:before="124" w:beforeLines="40" w:after="124" w:afterLines="40"/>
        <w:rPr>
          <w:rFonts w:ascii="宋体" w:hAnsi="宋体" w:cs="宋体"/>
          <w:color w:val="000000"/>
          <w:kern w:val="0"/>
          <w:sz w:val="24"/>
        </w:rPr>
      </w:pPr>
      <w:r>
        <w:rPr>
          <w:rFonts w:ascii="宋体" w:hAnsi="宋体" w:cs="宋体"/>
          <w:b/>
          <w:bCs/>
          <w:color w:val="000000"/>
          <w:kern w:val="0"/>
          <w:sz w:val="24"/>
        </w:rPr>
        <w:t xml:space="preserve"> </w:t>
      </w:r>
      <w:r>
        <w:rPr>
          <w:rFonts w:hint="eastAsia" w:ascii="宋体" w:hAnsi="宋体" w:cs="宋体"/>
          <w:b/>
          <w:bCs/>
          <w:color w:val="000000"/>
          <w:kern w:val="0"/>
          <w:sz w:val="24"/>
        </w:rPr>
        <w:t xml:space="preserve"> 采购项目基本概况</w:t>
      </w:r>
    </w:p>
    <w:p>
      <w:pPr>
        <w:widowControl/>
        <w:spacing w:before="124" w:beforeLines="40" w:after="124" w:afterLines="40"/>
        <w:ind w:firstLine="480" w:firstLineChars="200"/>
        <w:rPr>
          <w:rFonts w:ascii="宋体" w:hAnsi="宋体" w:cs="宋体"/>
          <w:color w:val="000000"/>
          <w:kern w:val="0"/>
          <w:sz w:val="24"/>
        </w:rPr>
      </w:pPr>
      <w:r>
        <w:rPr>
          <w:rFonts w:hint="eastAsia" w:ascii="宋体" w:hAnsi="宋体" w:cs="宋体"/>
          <w:color w:val="000000"/>
          <w:kern w:val="0"/>
          <w:sz w:val="24"/>
        </w:rPr>
        <w:t>1、</w:t>
      </w:r>
      <w:r>
        <w:rPr>
          <w:rFonts w:ascii="宋体" w:hAnsi="宋体" w:cs="宋体"/>
          <w:color w:val="000000"/>
          <w:kern w:val="0"/>
          <w:sz w:val="24"/>
        </w:rPr>
        <w:t>项目名称：</w:t>
      </w:r>
      <w:bookmarkStart w:id="3" w:name="_Hlk160807207"/>
      <w:r>
        <w:rPr>
          <w:rFonts w:ascii="宋体" w:hAnsi="宋体" w:cs="宋体"/>
          <w:color w:val="000000"/>
          <w:kern w:val="0"/>
          <w:sz w:val="24"/>
        </w:rPr>
        <w:t>湖南</w:t>
      </w:r>
      <w:r>
        <w:rPr>
          <w:rFonts w:hint="eastAsia" w:ascii="宋体" w:hAnsi="宋体" w:cs="宋体"/>
          <w:color w:val="000000"/>
          <w:kern w:val="0"/>
          <w:sz w:val="24"/>
        </w:rPr>
        <w:t>化工职业技术学院2024年</w:t>
      </w:r>
      <w:bookmarkEnd w:id="3"/>
      <w:r>
        <w:rPr>
          <w:rFonts w:hint="eastAsia" w:ascii="宋体" w:hAnsi="宋体" w:cs="宋体"/>
          <w:color w:val="000000"/>
          <w:kern w:val="0"/>
          <w:sz w:val="24"/>
          <w:lang w:eastAsia="zh-CN"/>
        </w:rPr>
        <w:t>学校重要活动文化用品采购项目</w:t>
      </w:r>
    </w:p>
    <w:p>
      <w:pPr>
        <w:widowControl/>
        <w:spacing w:before="124" w:beforeLines="40" w:after="124" w:afterLines="40"/>
        <w:ind w:firstLine="480" w:firstLineChars="200"/>
        <w:rPr>
          <w:rFonts w:ascii="宋体" w:hAnsi="宋体" w:cs="宋体"/>
          <w:color w:val="000000"/>
          <w:kern w:val="0"/>
          <w:sz w:val="24"/>
        </w:rPr>
      </w:pPr>
      <w:r>
        <w:rPr>
          <w:rFonts w:hint="eastAsia" w:ascii="宋体" w:hAnsi="宋体" w:cs="宋体"/>
          <w:color w:val="000000"/>
          <w:kern w:val="0"/>
          <w:sz w:val="24"/>
          <w:lang w:val="en-US" w:eastAsia="zh-CN"/>
        </w:rPr>
        <w:t>2</w:t>
      </w:r>
      <w:r>
        <w:rPr>
          <w:rFonts w:hint="eastAsia" w:ascii="宋体" w:hAnsi="宋体" w:cs="宋体"/>
          <w:color w:val="000000"/>
          <w:kern w:val="0"/>
          <w:sz w:val="24"/>
        </w:rPr>
        <w:t>、采购方式：比选采购</w:t>
      </w:r>
    </w:p>
    <w:p>
      <w:pPr>
        <w:widowControl/>
        <w:spacing w:before="124" w:beforeLines="40" w:after="124" w:afterLines="40" w:line="420" w:lineRule="exact"/>
        <w:ind w:firstLine="480" w:firstLineChars="200"/>
        <w:jc w:val="left"/>
        <w:rPr>
          <w:rFonts w:hint="default" w:ascii="宋体" w:hAnsi="宋体" w:eastAsia="宋体" w:cs="宋体"/>
          <w:color w:val="FF0000"/>
          <w:kern w:val="0"/>
          <w:sz w:val="24"/>
          <w:lang w:val="en-US" w:eastAsia="zh-CN"/>
        </w:rPr>
      </w:pPr>
      <w:bookmarkStart w:id="4" w:name="_Hlk144221827"/>
      <w:r>
        <w:rPr>
          <w:rFonts w:hint="eastAsia" w:ascii="宋体" w:hAnsi="宋体" w:cs="宋体"/>
          <w:color w:val="000000"/>
          <w:kern w:val="0"/>
          <w:sz w:val="24"/>
          <w:lang w:val="en-US" w:eastAsia="zh-CN"/>
        </w:rPr>
        <w:t>3</w:t>
      </w:r>
      <w:r>
        <w:rPr>
          <w:rFonts w:hint="eastAsia" w:ascii="宋体" w:hAnsi="宋体" w:cs="宋体"/>
          <w:color w:val="000000"/>
          <w:kern w:val="0"/>
          <w:sz w:val="24"/>
        </w:rPr>
        <w:t>、采购预算：</w:t>
      </w:r>
      <w:bookmarkEnd w:id="4"/>
      <w:r>
        <w:rPr>
          <w:rFonts w:hint="eastAsia" w:ascii="宋体" w:hAnsi="宋体" w:cs="宋体"/>
          <w:color w:val="000000"/>
          <w:kern w:val="0"/>
          <w:sz w:val="24"/>
          <w:lang w:val="en-US" w:eastAsia="zh-CN"/>
        </w:rPr>
        <w:t>3</w:t>
      </w:r>
      <w:r>
        <w:rPr>
          <w:rFonts w:hint="eastAsia" w:ascii="宋体" w:hAnsi="宋体" w:eastAsia="宋体" w:cs="宋体"/>
          <w:color w:val="000000"/>
          <w:kern w:val="0"/>
          <w:sz w:val="24"/>
          <w:lang w:val="en-US" w:eastAsia="zh-CN"/>
        </w:rPr>
        <w:t>0</w:t>
      </w:r>
      <w:r>
        <w:rPr>
          <w:rFonts w:hint="eastAsia" w:ascii="宋体" w:hAnsi="宋体" w:eastAsia="宋体" w:cs="宋体"/>
          <w:color w:val="000000"/>
          <w:kern w:val="0"/>
          <w:sz w:val="24"/>
        </w:rPr>
        <w:t>.00万元（以实际采购为准）</w:t>
      </w:r>
    </w:p>
    <w:p>
      <w:pPr>
        <w:pStyle w:val="74"/>
        <w:widowControl/>
        <w:numPr>
          <w:ilvl w:val="1"/>
          <w:numId w:val="2"/>
        </w:numPr>
        <w:spacing w:before="124" w:beforeLines="40" w:after="124" w:afterLines="40"/>
        <w:ind w:firstLineChars="0"/>
        <w:rPr>
          <w:rFonts w:ascii="宋体" w:hAnsi="宋体" w:cs="宋体"/>
          <w:color w:val="000000"/>
          <w:kern w:val="0"/>
          <w:sz w:val="24"/>
        </w:rPr>
      </w:pPr>
      <w:r>
        <w:rPr>
          <w:rFonts w:hint="eastAsia" w:ascii="宋体" w:hAnsi="宋体" w:cs="宋体"/>
          <w:b/>
          <w:bCs/>
          <w:color w:val="000000"/>
          <w:kern w:val="0"/>
          <w:sz w:val="24"/>
        </w:rPr>
        <w:t>资格条件</w:t>
      </w:r>
    </w:p>
    <w:p>
      <w:pPr>
        <w:widowControl/>
        <w:ind w:left="284"/>
        <w:rPr>
          <w:rFonts w:ascii="宋体" w:hAnsi="宋体" w:cs="宋体"/>
          <w:color w:val="000000"/>
          <w:kern w:val="0"/>
          <w:sz w:val="24"/>
        </w:rPr>
      </w:pPr>
      <w:bookmarkStart w:id="5" w:name="_Hlk160807244"/>
      <w:r>
        <w:rPr>
          <w:rFonts w:hint="eastAsia" w:ascii="宋体" w:hAnsi="宋体" w:cs="宋体"/>
          <w:color w:val="000000"/>
          <w:kern w:val="0"/>
          <w:sz w:val="24"/>
        </w:rPr>
        <w:t>（一）基本资格条件</w:t>
      </w:r>
    </w:p>
    <w:p>
      <w:pPr>
        <w:pStyle w:val="74"/>
        <w:widowControl/>
        <w:spacing w:line="440" w:lineRule="exact"/>
        <w:ind w:left="420" w:firstLine="0" w:firstLineChars="0"/>
        <w:jc w:val="left"/>
        <w:rPr>
          <w:rFonts w:ascii="宋体" w:hAnsi="宋体" w:cs="宋体"/>
          <w:color w:val="000000"/>
          <w:kern w:val="0"/>
          <w:sz w:val="24"/>
        </w:rPr>
      </w:pPr>
      <w:r>
        <w:rPr>
          <w:rFonts w:hint="eastAsia" w:ascii="宋体" w:hAnsi="宋体" w:cs="宋体"/>
          <w:color w:val="000000"/>
          <w:kern w:val="0"/>
          <w:sz w:val="24"/>
        </w:rPr>
        <w:t>1、具有独立法人资格，工商、税务、组织机构代码等证照齐全；</w:t>
      </w:r>
    </w:p>
    <w:p>
      <w:pPr>
        <w:pStyle w:val="74"/>
        <w:widowControl/>
        <w:numPr>
          <w:ilvl w:val="0"/>
          <w:numId w:val="3"/>
        </w:numPr>
        <w:spacing w:line="440" w:lineRule="exact"/>
        <w:ind w:firstLineChars="0"/>
        <w:jc w:val="left"/>
        <w:rPr>
          <w:rFonts w:ascii="宋体" w:hAnsi="宋体" w:cs="宋体"/>
          <w:color w:val="000000"/>
          <w:kern w:val="0"/>
          <w:sz w:val="24"/>
        </w:rPr>
      </w:pPr>
      <w:r>
        <w:rPr>
          <w:rFonts w:hint="eastAsia" w:ascii="宋体" w:hAnsi="宋体" w:cs="宋体"/>
          <w:color w:val="000000"/>
          <w:kern w:val="0"/>
          <w:sz w:val="24"/>
        </w:rPr>
        <w:t>具有良好的商业信誉和健全的财务会计制度；</w:t>
      </w:r>
    </w:p>
    <w:p>
      <w:pPr>
        <w:pStyle w:val="74"/>
        <w:widowControl/>
        <w:numPr>
          <w:ilvl w:val="0"/>
          <w:numId w:val="3"/>
        </w:numPr>
        <w:spacing w:line="440" w:lineRule="exact"/>
        <w:ind w:firstLineChars="0"/>
        <w:jc w:val="left"/>
        <w:rPr>
          <w:rFonts w:ascii="宋体" w:hAnsi="宋体" w:cs="宋体"/>
          <w:color w:val="000000"/>
          <w:kern w:val="0"/>
          <w:sz w:val="24"/>
        </w:rPr>
      </w:pPr>
      <w:r>
        <w:rPr>
          <w:rFonts w:hint="eastAsia" w:ascii="宋体" w:hAnsi="宋体" w:cs="宋体"/>
          <w:color w:val="000000"/>
          <w:kern w:val="0"/>
          <w:sz w:val="24"/>
        </w:rPr>
        <w:t>具有履行合同所必需的设备和专业技术服务能力；</w:t>
      </w:r>
    </w:p>
    <w:p>
      <w:pPr>
        <w:pStyle w:val="74"/>
        <w:widowControl/>
        <w:spacing w:line="440" w:lineRule="exact"/>
        <w:ind w:left="420" w:firstLine="0" w:firstLineChars="0"/>
        <w:jc w:val="left"/>
        <w:rPr>
          <w:rFonts w:ascii="宋体" w:hAnsi="宋体" w:cs="宋体"/>
          <w:color w:val="000000"/>
          <w:kern w:val="0"/>
          <w:sz w:val="24"/>
        </w:rPr>
      </w:pPr>
      <w:r>
        <w:rPr>
          <w:rFonts w:hint="eastAsia" w:ascii="宋体" w:hAnsi="宋体" w:cs="宋体"/>
          <w:color w:val="000000"/>
          <w:kern w:val="0"/>
          <w:sz w:val="24"/>
        </w:rPr>
        <w:t>4、有依法缴纳税收和社会保障资金的良好记录；</w:t>
      </w:r>
    </w:p>
    <w:p>
      <w:pPr>
        <w:pStyle w:val="74"/>
        <w:widowControl/>
        <w:spacing w:line="440" w:lineRule="exact"/>
        <w:ind w:left="420" w:firstLine="0" w:firstLineChars="0"/>
        <w:jc w:val="left"/>
        <w:rPr>
          <w:rFonts w:ascii="宋体" w:hAnsi="宋体" w:cs="宋体"/>
          <w:color w:val="000000"/>
          <w:kern w:val="0"/>
          <w:sz w:val="24"/>
        </w:rPr>
      </w:pPr>
      <w:r>
        <w:rPr>
          <w:rFonts w:hint="eastAsia" w:ascii="宋体" w:hAnsi="宋体" w:cs="宋体"/>
          <w:color w:val="000000"/>
          <w:kern w:val="0"/>
          <w:sz w:val="24"/>
        </w:rPr>
        <w:t>5、参加政府采购活动前三年内，在经营活动中没有重大违法记录；</w:t>
      </w:r>
    </w:p>
    <w:p>
      <w:pPr>
        <w:pStyle w:val="74"/>
        <w:widowControl/>
        <w:spacing w:line="440" w:lineRule="exact"/>
        <w:ind w:left="420" w:firstLine="0" w:firstLineChars="0"/>
        <w:jc w:val="left"/>
        <w:rPr>
          <w:rFonts w:ascii="宋体" w:hAnsi="宋体" w:cs="宋体"/>
          <w:color w:val="000000"/>
          <w:kern w:val="0"/>
          <w:sz w:val="24"/>
        </w:rPr>
      </w:pPr>
      <w:r>
        <w:rPr>
          <w:rFonts w:hint="eastAsia" w:ascii="宋体" w:hAnsi="宋体" w:cs="宋体"/>
          <w:color w:val="000000"/>
          <w:sz w:val="24"/>
          <w:highlight w:val="green"/>
        </w:rPr>
        <w:t>6、已入驻湖南省财政厅政府采购电子卖场证明。</w:t>
      </w:r>
    </w:p>
    <w:p>
      <w:pPr>
        <w:pStyle w:val="74"/>
        <w:widowControl/>
        <w:spacing w:line="440" w:lineRule="exact"/>
        <w:ind w:left="420" w:firstLine="0" w:firstLineChars="0"/>
        <w:jc w:val="left"/>
        <w:rPr>
          <w:rFonts w:ascii="宋体" w:hAnsi="宋体" w:cs="宋体"/>
          <w:color w:val="000000"/>
          <w:kern w:val="0"/>
          <w:sz w:val="24"/>
        </w:rPr>
      </w:pPr>
      <w:r>
        <w:rPr>
          <w:rFonts w:hint="eastAsia" w:ascii="宋体" w:hAnsi="宋体" w:cs="宋体"/>
          <w:color w:val="000000"/>
          <w:kern w:val="0"/>
          <w:sz w:val="24"/>
        </w:rPr>
        <w:t>7、法律、行政法规规定的其他条件。</w:t>
      </w:r>
    </w:p>
    <w:p>
      <w:pPr>
        <w:pStyle w:val="74"/>
        <w:widowControl/>
        <w:spacing w:line="440" w:lineRule="exact"/>
        <w:ind w:left="420" w:firstLine="0" w:firstLineChars="0"/>
        <w:jc w:val="left"/>
        <w:rPr>
          <w:rFonts w:ascii="宋体" w:hAnsi="宋体" w:cs="宋体"/>
          <w:color w:val="000000"/>
          <w:kern w:val="0"/>
          <w:sz w:val="24"/>
        </w:rPr>
      </w:pPr>
      <w:r>
        <w:rPr>
          <w:rFonts w:hint="eastAsia" w:ascii="宋体" w:hAnsi="宋体" w:cs="宋体"/>
          <w:color w:val="000000"/>
          <w:kern w:val="0"/>
          <w:sz w:val="24"/>
        </w:rPr>
        <w:t>8、本项目不接受联合体参与投标。</w:t>
      </w:r>
    </w:p>
    <w:bookmarkEnd w:id="5"/>
    <w:p>
      <w:pPr>
        <w:widowControl/>
        <w:spacing w:before="156" w:beforeLines="50" w:after="156" w:afterLines="50" w:line="440" w:lineRule="exact"/>
        <w:jc w:val="left"/>
        <w:rPr>
          <w:rFonts w:ascii="宋体" w:hAnsi="宋体" w:cs="宋体"/>
          <w:b/>
          <w:bCs/>
          <w:color w:val="000000"/>
          <w:kern w:val="0"/>
          <w:sz w:val="24"/>
        </w:rPr>
      </w:pPr>
      <w:r>
        <w:rPr>
          <w:rFonts w:hint="eastAsia" w:ascii="宋体" w:hAnsi="宋体" w:cs="宋体"/>
          <w:b/>
          <w:bCs/>
          <w:color w:val="000000"/>
          <w:kern w:val="0"/>
          <w:sz w:val="24"/>
        </w:rPr>
        <w:t>三、报名及获取比选文件的期限和方式</w:t>
      </w:r>
    </w:p>
    <w:p>
      <w:pPr>
        <w:widowControl/>
        <w:spacing w:before="124" w:beforeLines="40" w:after="124" w:afterLines="40"/>
        <w:ind w:firstLine="480" w:firstLineChars="200"/>
        <w:rPr>
          <w:rFonts w:ascii="宋体" w:hAnsi="宋体" w:cs="宋体"/>
          <w:color w:val="000000"/>
          <w:kern w:val="0"/>
          <w:sz w:val="24"/>
        </w:rPr>
      </w:pPr>
      <w:r>
        <w:rPr>
          <w:rFonts w:hint="eastAsia" w:ascii="宋体" w:hAnsi="宋体" w:cs="宋体"/>
          <w:color w:val="000000"/>
          <w:kern w:val="0"/>
          <w:sz w:val="24"/>
        </w:rPr>
        <w:t>1、报名时间：2024年3月1</w:t>
      </w:r>
      <w:r>
        <w:rPr>
          <w:rFonts w:hint="eastAsia" w:ascii="宋体" w:hAnsi="宋体" w:cs="宋体"/>
          <w:color w:val="000000"/>
          <w:kern w:val="0"/>
          <w:sz w:val="24"/>
          <w:lang w:val="en-US" w:eastAsia="zh-CN"/>
        </w:rPr>
        <w:t>9</w:t>
      </w:r>
      <w:r>
        <w:rPr>
          <w:rFonts w:hint="eastAsia" w:ascii="宋体" w:hAnsi="宋体" w:cs="宋体"/>
          <w:color w:val="000000"/>
          <w:kern w:val="0"/>
          <w:sz w:val="24"/>
        </w:rPr>
        <w:t>日至2024年3月</w:t>
      </w:r>
      <w:r>
        <w:rPr>
          <w:rFonts w:hint="eastAsia" w:ascii="宋体" w:hAnsi="宋体" w:cs="宋体"/>
          <w:color w:val="000000"/>
          <w:kern w:val="0"/>
          <w:sz w:val="24"/>
          <w:lang w:val="en-US" w:eastAsia="zh-CN"/>
        </w:rPr>
        <w:t>25</w:t>
      </w:r>
      <w:r>
        <w:rPr>
          <w:rFonts w:hint="eastAsia" w:ascii="宋体" w:hAnsi="宋体" w:cs="宋体"/>
          <w:color w:val="000000"/>
          <w:kern w:val="0"/>
          <w:sz w:val="24"/>
        </w:rPr>
        <w:t>日17：00止；</w:t>
      </w:r>
    </w:p>
    <w:p>
      <w:pPr>
        <w:widowControl/>
        <w:spacing w:line="440" w:lineRule="exact"/>
        <w:ind w:left="479" w:leftChars="228"/>
        <w:jc w:val="left"/>
        <w:rPr>
          <w:rFonts w:ascii="宋体" w:hAnsi="宋体" w:cs="宋体"/>
          <w:color w:val="000000"/>
          <w:kern w:val="0"/>
          <w:sz w:val="24"/>
        </w:rPr>
      </w:pPr>
      <w:r>
        <w:rPr>
          <w:rFonts w:hint="eastAsia" w:ascii="宋体" w:hAnsi="宋体" w:cs="宋体"/>
          <w:color w:val="000000"/>
          <w:kern w:val="0"/>
          <w:sz w:val="24"/>
        </w:rPr>
        <w:t>2、报名方式：供应商通过电子邮件将参与投标项目信息（参与项目、投标单位名称、项目负责人、联系电话）发到指定邮箱</w:t>
      </w:r>
      <w:r>
        <w:rPr>
          <w:rFonts w:hint="eastAsia" w:ascii="宋体" w:hAnsi="宋体" w:cs="宋体"/>
          <w:kern w:val="0"/>
          <w:sz w:val="24"/>
        </w:rPr>
        <w:t>（</w:t>
      </w:r>
      <w:r>
        <w:fldChar w:fldCharType="begin"/>
      </w:r>
      <w:r>
        <w:instrText xml:space="preserve"> HYPERLINK "mailto:zcglccg@126.com" </w:instrText>
      </w:r>
      <w:r>
        <w:fldChar w:fldCharType="separate"/>
      </w:r>
      <w:r>
        <w:rPr>
          <w:rStyle w:val="19"/>
          <w:rFonts w:hint="eastAsia" w:ascii="宋体" w:hAnsi="宋体" w:cs="宋体"/>
          <w:color w:val="auto"/>
          <w:kern w:val="0"/>
          <w:sz w:val="24"/>
        </w:rPr>
        <w:t>zcglccg@126.com</w:t>
      </w:r>
      <w:r>
        <w:rPr>
          <w:rStyle w:val="19"/>
          <w:rFonts w:hint="eastAsia" w:ascii="宋体" w:hAnsi="宋体" w:cs="宋体"/>
          <w:color w:val="auto"/>
          <w:kern w:val="0"/>
          <w:sz w:val="24"/>
        </w:rPr>
        <w:fldChar w:fldCharType="end"/>
      </w:r>
      <w:r>
        <w:rPr>
          <w:rFonts w:hint="eastAsia" w:ascii="宋体" w:hAnsi="宋体" w:cs="宋体"/>
          <w:kern w:val="0"/>
          <w:sz w:val="24"/>
        </w:rPr>
        <w:t>）</w:t>
      </w:r>
      <w:r>
        <w:rPr>
          <w:rFonts w:hint="eastAsia" w:ascii="宋体" w:hAnsi="宋体" w:cs="宋体"/>
          <w:color w:val="000000"/>
          <w:kern w:val="0"/>
          <w:sz w:val="24"/>
        </w:rPr>
        <w:t>；</w:t>
      </w:r>
    </w:p>
    <w:p>
      <w:pPr>
        <w:widowControl/>
        <w:spacing w:line="440" w:lineRule="exact"/>
        <w:ind w:left="479" w:leftChars="228"/>
        <w:jc w:val="left"/>
        <w:rPr>
          <w:rFonts w:ascii="宋体" w:hAnsi="宋体" w:cs="宋体"/>
          <w:color w:val="000000"/>
          <w:kern w:val="0"/>
          <w:sz w:val="24"/>
        </w:rPr>
      </w:pPr>
      <w:r>
        <w:rPr>
          <w:rFonts w:ascii="宋体" w:hAnsi="宋体" w:cs="宋体"/>
          <w:color w:val="000000"/>
          <w:kern w:val="0"/>
          <w:sz w:val="24"/>
        </w:rPr>
        <w:t>3</w:t>
      </w:r>
      <w:r>
        <w:rPr>
          <w:rFonts w:hint="eastAsia" w:ascii="宋体" w:hAnsi="宋体" w:cs="宋体"/>
          <w:color w:val="000000"/>
          <w:kern w:val="0"/>
          <w:sz w:val="24"/>
        </w:rPr>
        <w:t>、比选文件获取方式：供应商自行下载获取招标文件；</w:t>
      </w:r>
    </w:p>
    <w:p>
      <w:pPr>
        <w:widowControl/>
        <w:spacing w:before="156" w:beforeLines="50" w:after="156" w:afterLines="50" w:line="440" w:lineRule="exact"/>
        <w:ind w:left="479" w:leftChars="228"/>
        <w:jc w:val="left"/>
        <w:rPr>
          <w:rFonts w:ascii="宋体" w:hAnsi="宋体" w:cs="宋体"/>
          <w:b/>
          <w:bCs/>
          <w:color w:val="000000"/>
          <w:kern w:val="0"/>
          <w:sz w:val="24"/>
        </w:rPr>
      </w:pPr>
      <w:r>
        <w:rPr>
          <w:rFonts w:hint="eastAsia" w:ascii="宋体" w:hAnsi="宋体" w:cs="宋体"/>
          <w:b/>
          <w:bCs/>
          <w:color w:val="000000"/>
          <w:kern w:val="0"/>
          <w:sz w:val="24"/>
        </w:rPr>
        <w:t>四、开标信息</w:t>
      </w:r>
    </w:p>
    <w:p>
      <w:pPr>
        <w:widowControl/>
        <w:spacing w:before="124" w:beforeLines="40" w:after="124" w:afterLines="40"/>
        <w:ind w:firstLine="480" w:firstLineChars="200"/>
        <w:rPr>
          <w:rFonts w:ascii="宋体" w:hAnsi="宋体" w:cs="宋体"/>
          <w:color w:val="000000"/>
          <w:kern w:val="0"/>
          <w:sz w:val="24"/>
        </w:rPr>
      </w:pPr>
      <w:r>
        <w:rPr>
          <w:rFonts w:hint="eastAsia" w:ascii="宋体" w:hAnsi="宋体" w:cs="宋体"/>
          <w:color w:val="000000"/>
          <w:kern w:val="0"/>
          <w:sz w:val="24"/>
        </w:rPr>
        <w:t>1、响应文件递交开始时间：2024年3月</w:t>
      </w:r>
      <w:r>
        <w:rPr>
          <w:rFonts w:hint="eastAsia" w:ascii="宋体" w:hAnsi="宋体" w:cs="宋体"/>
          <w:color w:val="000000"/>
          <w:kern w:val="0"/>
          <w:sz w:val="24"/>
          <w:lang w:val="en-US" w:eastAsia="zh-CN"/>
        </w:rPr>
        <w:t>26</w:t>
      </w:r>
      <w:r>
        <w:rPr>
          <w:rFonts w:hint="eastAsia" w:ascii="宋体" w:hAnsi="宋体" w:cs="宋体"/>
          <w:color w:val="000000"/>
          <w:kern w:val="0"/>
          <w:sz w:val="24"/>
        </w:rPr>
        <w:t>日北京时间9:00；</w:t>
      </w:r>
    </w:p>
    <w:p>
      <w:pPr>
        <w:widowControl/>
        <w:spacing w:before="124" w:beforeLines="40" w:after="124" w:afterLines="40"/>
        <w:ind w:firstLine="480" w:firstLineChars="200"/>
        <w:rPr>
          <w:rFonts w:ascii="宋体" w:hAnsi="宋体" w:cs="宋体"/>
          <w:color w:val="000000"/>
          <w:kern w:val="0"/>
          <w:sz w:val="24"/>
        </w:rPr>
      </w:pPr>
      <w:r>
        <w:rPr>
          <w:rFonts w:hint="eastAsia" w:ascii="宋体" w:hAnsi="宋体" w:cs="宋体"/>
          <w:color w:val="000000"/>
          <w:kern w:val="0"/>
          <w:sz w:val="24"/>
        </w:rPr>
        <w:t>2、响应文件递交截止时间（开标时间）：2024年3月</w:t>
      </w:r>
      <w:r>
        <w:rPr>
          <w:rFonts w:hint="eastAsia" w:ascii="宋体" w:hAnsi="宋体" w:cs="宋体"/>
          <w:color w:val="000000"/>
          <w:kern w:val="0"/>
          <w:sz w:val="24"/>
          <w:lang w:val="en-US" w:eastAsia="zh-CN"/>
        </w:rPr>
        <w:t>26</w:t>
      </w:r>
      <w:r>
        <w:rPr>
          <w:rFonts w:hint="eastAsia" w:ascii="宋体" w:hAnsi="宋体" w:cs="宋体"/>
          <w:color w:val="000000"/>
          <w:kern w:val="0"/>
          <w:sz w:val="24"/>
        </w:rPr>
        <w:t>日北京时间9:00；</w:t>
      </w:r>
    </w:p>
    <w:p>
      <w:pPr>
        <w:widowControl/>
        <w:spacing w:before="124" w:beforeLines="40" w:after="124" w:afterLines="40"/>
        <w:ind w:firstLine="480" w:firstLineChars="200"/>
        <w:rPr>
          <w:rFonts w:ascii="宋体" w:hAnsi="宋体" w:cs="宋体"/>
          <w:color w:val="000000"/>
          <w:kern w:val="0"/>
          <w:sz w:val="24"/>
        </w:rPr>
      </w:pPr>
      <w:r>
        <w:rPr>
          <w:rFonts w:hint="eastAsia" w:ascii="宋体" w:hAnsi="宋体" w:cs="宋体"/>
          <w:color w:val="000000"/>
          <w:kern w:val="0"/>
          <w:sz w:val="24"/>
        </w:rPr>
        <w:t>3、开标地点：湖南化工职业技术学院行政楼</w:t>
      </w:r>
      <w:r>
        <w:rPr>
          <w:rFonts w:hint="eastAsia" w:ascii="宋体" w:hAnsi="宋体" w:cs="宋体"/>
          <w:color w:val="000000"/>
          <w:kern w:val="0"/>
          <w:sz w:val="24"/>
          <w:lang w:val="en-US" w:eastAsia="zh-CN"/>
        </w:rPr>
        <w:t>110</w:t>
      </w:r>
      <w:r>
        <w:rPr>
          <w:rFonts w:hint="eastAsia" w:ascii="宋体" w:hAnsi="宋体" w:cs="宋体"/>
          <w:color w:val="000000"/>
          <w:kern w:val="0"/>
          <w:sz w:val="24"/>
        </w:rPr>
        <w:t>室。</w:t>
      </w:r>
    </w:p>
    <w:p>
      <w:pPr>
        <w:widowControl/>
        <w:spacing w:before="156" w:beforeLines="50" w:after="156" w:afterLines="50" w:line="440" w:lineRule="exact"/>
        <w:ind w:left="479" w:leftChars="228"/>
        <w:jc w:val="left"/>
        <w:rPr>
          <w:rFonts w:ascii="宋体" w:hAnsi="宋体" w:cs="宋体"/>
          <w:b/>
          <w:bCs/>
          <w:color w:val="000000"/>
          <w:kern w:val="0"/>
          <w:sz w:val="24"/>
        </w:rPr>
      </w:pPr>
      <w:r>
        <w:rPr>
          <w:rFonts w:hint="eastAsia" w:ascii="宋体" w:hAnsi="宋体" w:cs="宋体"/>
          <w:b/>
          <w:bCs/>
          <w:color w:val="000000"/>
          <w:kern w:val="0"/>
          <w:sz w:val="24"/>
        </w:rPr>
        <w:t>五、发布公告的媒介</w:t>
      </w:r>
    </w:p>
    <w:p>
      <w:pPr>
        <w:widowControl/>
        <w:spacing w:line="440" w:lineRule="exact"/>
        <w:ind w:left="479" w:leftChars="228" w:firstLine="480" w:firstLineChars="200"/>
        <w:rPr>
          <w:rFonts w:ascii="宋体" w:hAnsi="宋体" w:cs="宋体"/>
          <w:color w:val="000000"/>
          <w:kern w:val="0"/>
          <w:sz w:val="24"/>
        </w:rPr>
      </w:pPr>
      <w:r>
        <w:rPr>
          <w:rFonts w:hint="eastAsia" w:ascii="宋体" w:hAnsi="宋体" w:cs="宋体"/>
          <w:color w:val="000000"/>
          <w:kern w:val="0"/>
          <w:sz w:val="24"/>
        </w:rPr>
        <w:t>本次比选采购邀请公告在湖南化工职业技术学院官网通知公告（http://www.hnhgzy.com）上发布。</w:t>
      </w:r>
    </w:p>
    <w:p>
      <w:pPr>
        <w:widowControl/>
        <w:spacing w:before="156" w:beforeLines="50" w:after="156" w:afterLines="50" w:line="440" w:lineRule="exact"/>
        <w:ind w:left="479" w:leftChars="228"/>
        <w:jc w:val="left"/>
        <w:rPr>
          <w:rFonts w:ascii="宋体" w:hAnsi="宋体" w:cs="宋体"/>
          <w:b/>
          <w:bCs/>
          <w:color w:val="000000"/>
          <w:kern w:val="0"/>
          <w:sz w:val="24"/>
        </w:rPr>
      </w:pPr>
      <w:r>
        <w:rPr>
          <w:rFonts w:hint="eastAsia" w:ascii="宋体" w:hAnsi="宋体" w:cs="宋体"/>
          <w:b/>
          <w:bCs/>
          <w:color w:val="000000"/>
          <w:kern w:val="0"/>
          <w:sz w:val="24"/>
        </w:rPr>
        <w:t>六、联系方式</w:t>
      </w:r>
    </w:p>
    <w:p>
      <w:pPr>
        <w:widowControl/>
        <w:spacing w:line="440" w:lineRule="exact"/>
        <w:ind w:left="479" w:leftChars="228" w:firstLine="480" w:firstLineChars="200"/>
        <w:jc w:val="left"/>
        <w:rPr>
          <w:rFonts w:ascii="宋体" w:hAnsi="宋体" w:cs="宋体"/>
          <w:color w:val="000000"/>
          <w:kern w:val="0"/>
          <w:sz w:val="24"/>
        </w:rPr>
      </w:pPr>
      <w:r>
        <w:rPr>
          <w:rFonts w:hint="eastAsia" w:ascii="宋体" w:hAnsi="宋体" w:cs="宋体"/>
          <w:color w:val="000000"/>
          <w:kern w:val="0"/>
          <w:sz w:val="24"/>
        </w:rPr>
        <w:t>采购人：湖南化工职业技术学院</w:t>
      </w:r>
    </w:p>
    <w:p>
      <w:pPr>
        <w:widowControl/>
        <w:spacing w:line="440" w:lineRule="exact"/>
        <w:ind w:left="479" w:leftChars="228" w:firstLine="480" w:firstLineChars="200"/>
        <w:jc w:val="left"/>
        <w:rPr>
          <w:rFonts w:ascii="宋体" w:hAnsi="宋体" w:cs="宋体"/>
          <w:color w:val="000000"/>
          <w:kern w:val="0"/>
          <w:sz w:val="24"/>
        </w:rPr>
      </w:pPr>
      <w:r>
        <w:rPr>
          <w:rFonts w:hint="eastAsia" w:ascii="宋体" w:hAnsi="宋体" w:cs="宋体"/>
          <w:color w:val="000000"/>
          <w:kern w:val="0"/>
          <w:sz w:val="24"/>
        </w:rPr>
        <w:t>联系人：赵老师</w:t>
      </w:r>
    </w:p>
    <w:p>
      <w:pPr>
        <w:widowControl/>
        <w:spacing w:line="440" w:lineRule="exact"/>
        <w:ind w:left="479" w:leftChars="228" w:firstLine="480" w:firstLineChars="200"/>
        <w:jc w:val="left"/>
        <w:rPr>
          <w:rFonts w:ascii="宋体" w:hAnsi="宋体" w:cs="宋体"/>
          <w:color w:val="000000"/>
          <w:kern w:val="0"/>
          <w:sz w:val="24"/>
        </w:rPr>
      </w:pPr>
      <w:r>
        <w:rPr>
          <w:rFonts w:hint="eastAsia" w:ascii="宋体" w:hAnsi="宋体" w:cs="宋体"/>
          <w:color w:val="000000"/>
          <w:kern w:val="0"/>
          <w:sz w:val="24"/>
        </w:rPr>
        <w:t>电 话：0731-22537501</w:t>
      </w:r>
    </w:p>
    <w:p>
      <w:pPr>
        <w:widowControl/>
        <w:spacing w:line="440" w:lineRule="exact"/>
        <w:ind w:left="479" w:leftChars="228" w:firstLine="480" w:firstLineChars="200"/>
        <w:jc w:val="left"/>
        <w:rPr>
          <w:rFonts w:ascii="宋体" w:hAnsi="宋体" w:cs="宋体"/>
          <w:color w:val="000000"/>
          <w:kern w:val="0"/>
          <w:sz w:val="24"/>
        </w:rPr>
      </w:pPr>
      <w:r>
        <w:rPr>
          <w:rFonts w:hint="eastAsia" w:ascii="宋体" w:hAnsi="宋体" w:cs="宋体"/>
          <w:color w:val="000000"/>
          <w:kern w:val="0"/>
          <w:sz w:val="24"/>
        </w:rPr>
        <w:t xml:space="preserve">地  址：湖南省株洲市云龙区职教城                           </w:t>
      </w:r>
    </w:p>
    <w:p>
      <w:pPr>
        <w:pStyle w:val="3"/>
        <w:ind w:firstLine="480"/>
        <w:rPr>
          <w:color w:val="000000"/>
        </w:rPr>
      </w:pPr>
    </w:p>
    <w:p>
      <w:pPr>
        <w:pStyle w:val="4"/>
        <w:rPr>
          <w:color w:val="000000"/>
        </w:rPr>
      </w:pPr>
    </w:p>
    <w:p>
      <w:pPr>
        <w:pStyle w:val="4"/>
        <w:rPr>
          <w:color w:val="000000"/>
        </w:rPr>
      </w:pPr>
    </w:p>
    <w:p>
      <w:pPr>
        <w:widowControl/>
        <w:spacing w:line="440" w:lineRule="exact"/>
        <w:jc w:val="center"/>
        <w:rPr>
          <w:rFonts w:ascii="宋体" w:hAnsi="宋体" w:cs="宋体"/>
          <w:color w:val="000000"/>
          <w:kern w:val="0"/>
          <w:sz w:val="24"/>
        </w:rPr>
      </w:pPr>
      <w:r>
        <w:rPr>
          <w:rFonts w:hint="eastAsia" w:ascii="宋体" w:hAnsi="宋体" w:cs="宋体"/>
          <w:color w:val="000000"/>
          <w:kern w:val="0"/>
          <w:sz w:val="24"/>
        </w:rPr>
        <w:t xml:space="preserve">                 </w:t>
      </w:r>
      <w:r>
        <w:rPr>
          <w:rFonts w:ascii="宋体" w:hAnsi="宋体" w:cs="宋体"/>
          <w:color w:val="000000"/>
          <w:kern w:val="0"/>
          <w:sz w:val="24"/>
        </w:rPr>
        <w:t xml:space="preserve">       </w:t>
      </w:r>
      <w:r>
        <w:rPr>
          <w:rFonts w:hint="eastAsia" w:ascii="宋体" w:hAnsi="宋体" w:cs="宋体"/>
          <w:color w:val="000000"/>
          <w:kern w:val="0"/>
          <w:sz w:val="24"/>
        </w:rPr>
        <w:t xml:space="preserve">   </w:t>
      </w:r>
    </w:p>
    <w:p>
      <w:pPr>
        <w:widowControl/>
        <w:spacing w:line="440" w:lineRule="exact"/>
        <w:ind w:firstLine="5280" w:firstLineChars="2200"/>
        <w:jc w:val="left"/>
        <w:rPr>
          <w:rFonts w:ascii="宋体" w:hAnsi="宋体" w:cs="宋体"/>
          <w:kern w:val="0"/>
          <w:sz w:val="24"/>
        </w:rPr>
      </w:pPr>
      <w:r>
        <w:rPr>
          <w:rFonts w:ascii="宋体" w:hAnsi="宋体" w:cs="宋体"/>
          <w:kern w:val="0"/>
          <w:sz w:val="24"/>
        </w:rPr>
        <w:br w:type="page"/>
      </w:r>
    </w:p>
    <w:p>
      <w:pPr>
        <w:widowControl/>
        <w:spacing w:before="124" w:beforeLines="40" w:after="124" w:afterLines="40" w:line="375" w:lineRule="atLeast"/>
        <w:jc w:val="center"/>
        <w:rPr>
          <w:rFonts w:ascii="微软雅黑" w:hAnsi="微软雅黑" w:eastAsia="微软雅黑" w:cs="微软雅黑"/>
          <w:b/>
          <w:color w:val="000000"/>
          <w:kern w:val="0"/>
          <w:sz w:val="30"/>
          <w:szCs w:val="30"/>
        </w:rPr>
      </w:pPr>
      <w:r>
        <w:rPr>
          <w:rFonts w:hint="eastAsia" w:ascii="微软雅黑" w:hAnsi="微软雅黑" w:eastAsia="微软雅黑" w:cs="微软雅黑"/>
          <w:b/>
          <w:color w:val="000000"/>
          <w:kern w:val="0"/>
          <w:sz w:val="30"/>
          <w:szCs w:val="30"/>
        </w:rPr>
        <w:t>比选须知</w:t>
      </w:r>
    </w:p>
    <w:p>
      <w:pPr>
        <w:widowControl/>
        <w:spacing w:after="156" w:afterLines="50" w:line="360" w:lineRule="auto"/>
        <w:ind w:firstLine="482" w:firstLineChars="200"/>
        <w:jc w:val="left"/>
        <w:rPr>
          <w:rFonts w:ascii="宋体" w:hAnsi="宋体" w:cs="宋体"/>
          <w:color w:val="000000"/>
          <w:kern w:val="0"/>
          <w:sz w:val="24"/>
        </w:rPr>
      </w:pPr>
      <w:r>
        <w:rPr>
          <w:rFonts w:hint="eastAsia" w:ascii="宋体" w:hAnsi="宋体" w:cs="宋体"/>
          <w:b/>
          <w:color w:val="000000"/>
          <w:kern w:val="0"/>
          <w:sz w:val="24"/>
        </w:rPr>
        <w:t>一、说明</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1、适用范围：本招标书仅适用于本次招标。</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2、合格投标人：提交</w:t>
      </w:r>
      <w:r>
        <w:rPr>
          <w:rFonts w:hint="eastAsia" w:ascii="宋体" w:hAnsi="宋体" w:cs="宋体"/>
          <w:b/>
          <w:bCs/>
          <w:color w:val="000000"/>
          <w:kern w:val="0"/>
          <w:sz w:val="24"/>
        </w:rPr>
        <w:t>附件3</w:t>
      </w:r>
      <w:r>
        <w:rPr>
          <w:rFonts w:hint="eastAsia" w:ascii="宋体" w:hAnsi="宋体" w:cs="宋体"/>
          <w:color w:val="000000"/>
          <w:kern w:val="0"/>
          <w:sz w:val="24"/>
        </w:rPr>
        <w:t>所列各项条件的被邀请单位为合格投标人。</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3、招标人：系指湖南化工职业技术学院。</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4、投标人：系指向招标人提交投标文件的合格投标人。</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5、服务：系指招标文件规定卖方须承担的相关工作。</w:t>
      </w:r>
    </w:p>
    <w:p>
      <w:pPr>
        <w:widowControl/>
        <w:spacing w:before="156" w:beforeLines="50" w:after="156" w:afterLines="50" w:line="360" w:lineRule="auto"/>
        <w:ind w:firstLine="482" w:firstLineChars="200"/>
        <w:jc w:val="left"/>
        <w:rPr>
          <w:rFonts w:ascii="宋体" w:hAnsi="宋体" w:cs="宋体"/>
          <w:color w:val="000000"/>
          <w:kern w:val="0"/>
          <w:sz w:val="24"/>
        </w:rPr>
      </w:pPr>
      <w:r>
        <w:rPr>
          <w:rFonts w:hint="eastAsia" w:ascii="宋体" w:hAnsi="宋体" w:cs="宋体"/>
          <w:b/>
          <w:color w:val="000000"/>
          <w:kern w:val="0"/>
          <w:sz w:val="24"/>
        </w:rPr>
        <w:t>二、比选文件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1、投标比选文件的编制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投标人应仔细阅读招标文件所有内容，并按招标文件的规定及附件要求的内容和格式，提交完整的投标文件。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投标人应向甲方提供约定的服务的所有内容并保证服务质量。</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2、比选文件的组成</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highlight w:val="green"/>
        </w:rPr>
        <w:t>投标人递交的比选文件按照以下格式进行编制：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（1）投标文件目录及</w:t>
      </w:r>
      <w:r>
        <w:rPr>
          <w:rFonts w:hint="eastAsia" w:ascii="宋体" w:hAnsi="宋体" w:cs="宋体"/>
          <w:color w:val="000000"/>
          <w:kern w:val="0"/>
          <w:sz w:val="24"/>
          <w:highlight w:val="green"/>
        </w:rPr>
        <w:t>评分标准佐证材料索引；</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（2）投标书</w:t>
      </w:r>
    </w:p>
    <w:p>
      <w:pPr>
        <w:pStyle w:val="5"/>
        <w:spacing w:after="0" w:line="360" w:lineRule="auto"/>
        <w:ind w:firstLine="480" w:firstLineChars="200"/>
        <w:jc w:val="left"/>
      </w:pPr>
      <w:r>
        <w:rPr>
          <w:rFonts w:hint="eastAsia" w:ascii="宋体" w:hAnsi="宋体" w:cs="宋体"/>
          <w:color w:val="000000"/>
          <w:kern w:val="0"/>
          <w:sz w:val="24"/>
        </w:rPr>
        <w:t>（3）开标一览表</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（4）服务方案</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（5）服务承诺书</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（6）供应商资质证明材料</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（7）技术参数响应及实施方案</w:t>
      </w:r>
    </w:p>
    <w:p>
      <w:pPr>
        <w:pStyle w:val="12"/>
        <w:tabs>
          <w:tab w:val="left" w:pos="3420"/>
        </w:tabs>
        <w:spacing w:after="0" w:line="360" w:lineRule="auto"/>
        <w:ind w:left="0" w:leftChars="0" w:firstLine="480"/>
        <w:jc w:val="left"/>
        <w:rPr>
          <w:rFonts w:ascii="宋体" w:hAnsi="宋体" w:cs="宋体"/>
          <w:kern w:val="0"/>
          <w:sz w:val="24"/>
        </w:rPr>
      </w:pPr>
      <w:r>
        <w:rPr>
          <w:rFonts w:hint="eastAsia" w:ascii="宋体" w:hAnsi="宋体" w:cs="宋体"/>
          <w:kern w:val="0"/>
          <w:sz w:val="24"/>
        </w:rPr>
        <w:t>（8）类似业绩</w:t>
      </w:r>
    </w:p>
    <w:p>
      <w:pPr>
        <w:spacing w:line="360" w:lineRule="auto"/>
        <w:ind w:firstLine="480" w:firstLineChars="200"/>
        <w:jc w:val="left"/>
        <w:rPr>
          <w:color w:val="000000"/>
        </w:rPr>
      </w:pPr>
      <w:r>
        <w:rPr>
          <w:rFonts w:hint="eastAsia" w:ascii="宋体" w:hAnsi="宋体" w:cs="宋体"/>
          <w:color w:val="000000"/>
          <w:kern w:val="0"/>
          <w:sz w:val="24"/>
        </w:rPr>
        <w:t>（9）供应商认为需提供的其它资料</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投标文件应对招标文件规定的要求和条件作出实质性响应，如有漏项、重大偏离或显著保留，即视为废标；所有不完整的投标文件将被拒绝。</w:t>
      </w:r>
    </w:p>
    <w:p>
      <w:pPr>
        <w:widowControl/>
        <w:spacing w:before="156" w:beforeLines="50" w:after="156" w:afterLines="50"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三、投标</w:t>
      </w:r>
    </w:p>
    <w:p>
      <w:pPr>
        <w:widowControl/>
        <w:spacing w:line="360" w:lineRule="auto"/>
        <w:ind w:firstLine="480" w:firstLineChars="200"/>
        <w:jc w:val="left"/>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fldChar w:fldCharType="begin"/>
      </w:r>
      <w:r>
        <w:rPr>
          <w:rFonts w:hint="eastAsia" w:ascii="宋体" w:hAnsi="宋体" w:cs="宋体"/>
          <w:color w:val="000000" w:themeColor="text1"/>
          <w:kern w:val="0"/>
          <w:sz w:val="24"/>
          <w14:textFill>
            <w14:solidFill>
              <w14:schemeClr w14:val="tx1"/>
            </w14:solidFill>
          </w14:textFill>
        </w:rPr>
        <w:instrText xml:space="preserve"> HYPERLINK "mailto:全部投标文件按《投标须知》中\“投标文件的组成\”的顺序成册，投标文件必须封装并加盖公章，并在封面上写明投标人名称。招标人不接受电报、电话、传真和电子邮件投标，投标书递交后不得修改，也不得撤标。要求投标方报名截止前将参与投标项目信息（参与项目、投标单位名称、项目负责人、联系电话）发到指定邮箱（zcglccg@126.com），不接受现场报名。" </w:instrText>
      </w:r>
      <w:r>
        <w:rPr>
          <w:rFonts w:hint="eastAsia" w:ascii="宋体" w:hAnsi="宋体" w:cs="宋体"/>
          <w:color w:val="000000" w:themeColor="text1"/>
          <w:kern w:val="0"/>
          <w:sz w:val="24"/>
          <w14:textFill>
            <w14:solidFill>
              <w14:schemeClr w14:val="tx1"/>
            </w14:solidFill>
          </w14:textFill>
        </w:rPr>
        <w:fldChar w:fldCharType="separate"/>
      </w:r>
      <w:r>
        <w:rPr>
          <w:rStyle w:val="19"/>
          <w:rFonts w:hint="eastAsia" w:ascii="宋体" w:hAnsi="宋体" w:cs="宋体"/>
          <w:color w:val="000000" w:themeColor="text1"/>
          <w:kern w:val="0"/>
          <w:sz w:val="24"/>
          <w14:textFill>
            <w14:solidFill>
              <w14:schemeClr w14:val="tx1"/>
            </w14:solidFill>
          </w14:textFill>
        </w:rPr>
        <w:t>全部投标文件按《投标须知》中“投标文件的组成”的顺序成册，投标文件必须封装并加盖公章，并在封面上写明投标人名称。招标人不接受电报、电话、传真和电子邮件投标，投标书递交后不得修改，也不得撤标。</w:t>
      </w:r>
      <w:r>
        <w:rPr>
          <w:rStyle w:val="19"/>
          <w:rFonts w:hint="eastAsia" w:ascii="宋体" w:hAnsi="宋体" w:cs="宋体"/>
          <w:b/>
          <w:bCs/>
          <w:color w:val="000000" w:themeColor="text1"/>
          <w:kern w:val="0"/>
          <w:sz w:val="24"/>
          <w14:textFill>
            <w14:solidFill>
              <w14:schemeClr w14:val="tx1"/>
            </w14:solidFill>
          </w14:textFill>
        </w:rPr>
        <w:t>要求投标方报名截止前将参与投标项目信息（参与项目、投标单位名称、项目负责人、联系电话）发到指定邮箱（</w:t>
      </w:r>
      <w:r>
        <w:rPr>
          <w:rStyle w:val="19"/>
          <w:rFonts w:hint="eastAsia" w:ascii="宋体" w:hAnsi="宋体" w:cs="宋体"/>
          <w:color w:val="000000" w:themeColor="text1"/>
          <w:kern w:val="0"/>
          <w:sz w:val="24"/>
          <w14:textFill>
            <w14:solidFill>
              <w14:schemeClr w14:val="tx1"/>
            </w14:solidFill>
          </w14:textFill>
        </w:rPr>
        <w:t>zcglccg@126.com</w:t>
      </w:r>
      <w:r>
        <w:rPr>
          <w:rStyle w:val="19"/>
          <w:rFonts w:hint="eastAsia" w:ascii="宋体" w:hAnsi="宋体" w:cs="宋体"/>
          <w:b/>
          <w:bCs/>
          <w:color w:val="000000" w:themeColor="text1"/>
          <w:kern w:val="0"/>
          <w:sz w:val="24"/>
          <w14:textFill>
            <w14:solidFill>
              <w14:schemeClr w14:val="tx1"/>
            </w14:solidFill>
          </w14:textFill>
        </w:rPr>
        <w:t>），不接受现场报名。</w:t>
      </w:r>
      <w:r>
        <w:rPr>
          <w:rFonts w:hint="eastAsia" w:ascii="宋体" w:hAnsi="宋体" w:cs="宋体"/>
          <w:color w:val="000000" w:themeColor="text1"/>
          <w:kern w:val="0"/>
          <w:sz w:val="24"/>
          <w14:textFill>
            <w14:solidFill>
              <w14:schemeClr w14:val="tx1"/>
            </w14:solidFill>
          </w14:textFill>
        </w:rPr>
        <w:fldChar w:fldCharType="end"/>
      </w:r>
    </w:p>
    <w:p>
      <w:pPr>
        <w:widowControl/>
        <w:spacing w:line="360" w:lineRule="auto"/>
        <w:ind w:firstLine="480" w:firstLineChars="200"/>
        <w:jc w:val="left"/>
        <w:rPr>
          <w:rFonts w:hint="eastAsia" w:ascii="宋体" w:hAnsi="宋体" w:cs="宋体"/>
          <w:b/>
          <w:bCs/>
          <w:color w:val="000000"/>
          <w:kern w:val="0"/>
          <w:sz w:val="24"/>
        </w:rPr>
      </w:pPr>
      <w:r>
        <w:rPr>
          <w:rFonts w:hint="eastAsia" w:ascii="宋体" w:hAnsi="宋体" w:cs="宋体"/>
          <w:color w:val="000000"/>
          <w:kern w:val="0"/>
          <w:sz w:val="24"/>
        </w:rPr>
        <w:t>开标之日再来我院交标书，</w:t>
      </w:r>
      <w:r>
        <w:rPr>
          <w:rFonts w:hint="eastAsia" w:ascii="宋体" w:hAnsi="宋体" w:cs="宋体"/>
          <w:b/>
          <w:color w:val="000000"/>
          <w:kern w:val="0"/>
          <w:sz w:val="24"/>
        </w:rPr>
        <w:t>交标书时，要求纸质稿四份密封</w:t>
      </w:r>
      <w:r>
        <w:rPr>
          <w:rFonts w:hint="eastAsia" w:ascii="宋体" w:hAnsi="宋体" w:cs="宋体"/>
          <w:b/>
          <w:bCs/>
          <w:color w:val="000000"/>
          <w:kern w:val="0"/>
          <w:sz w:val="24"/>
        </w:rPr>
        <w:t>（一正三副）</w:t>
      </w:r>
      <w:r>
        <w:rPr>
          <w:rFonts w:hint="eastAsia" w:ascii="宋体" w:hAnsi="宋体" w:cs="宋体"/>
          <w:color w:val="000000"/>
          <w:kern w:val="0"/>
          <w:sz w:val="24"/>
        </w:rPr>
        <w:t>。</w:t>
      </w:r>
    </w:p>
    <w:p>
      <w:pPr>
        <w:widowControl/>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四、开标和评标</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将按《比选公告》中规定的时间和地点组织采购比选。采购比选将由我院招投标小组具体组织实施。</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评标的基础是</w:t>
      </w:r>
      <w:r>
        <w:rPr>
          <w:rFonts w:hint="eastAsia" w:ascii="宋体" w:hAnsi="宋体" w:cs="宋体"/>
          <w:b/>
          <w:bCs/>
          <w:color w:val="000000"/>
          <w:kern w:val="0"/>
          <w:sz w:val="24"/>
        </w:rPr>
        <w:t>投标人的报价、服务方案、业绩、服务和承诺</w:t>
      </w:r>
      <w:r>
        <w:rPr>
          <w:rFonts w:hint="eastAsia" w:ascii="宋体" w:hAnsi="宋体" w:cs="宋体"/>
          <w:color w:val="000000"/>
          <w:kern w:val="0"/>
          <w:sz w:val="24"/>
        </w:rPr>
        <w:t>等。</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对投标文件中疑义或表达不清的内容，招标人有权要求投标人予以澄清。</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合同将授予符合招标文件及综合得分最高的投标人。</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招标人有权在签订合同时调整采购数量。</w:t>
      </w:r>
    </w:p>
    <w:p>
      <w:pPr>
        <w:widowControl/>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五、中标</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1、中标结果公布</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（1）若评标顺利，将当场公布评标结果。</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（2）若不能立即评出结果，将在1天内通知中标单位。</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2、中标人出现下列行为之一者，其中标资格将被取消：</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（1）中标人与其他投标人串通进行投标的；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（2）中标人不能按中标要求签订合同的；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（3）中标人有其它损害招标人、采购人利益或社会公共利益的；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（4）中标人在规定时间内不与招标人签订合同的；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（5）中标人转让中标项目的；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（6）中标人的中标资格被取消后，可按中标候选单位的排名顺序依次递补或重新招标。</w:t>
      </w:r>
    </w:p>
    <w:p>
      <w:pPr>
        <w:widowControl/>
        <w:spacing w:line="360" w:lineRule="auto"/>
        <w:ind w:firstLine="482" w:firstLineChars="200"/>
        <w:jc w:val="left"/>
        <w:rPr>
          <w:rFonts w:ascii="宋体" w:hAnsi="宋体" w:cs="宋体"/>
          <w:color w:val="000000"/>
          <w:kern w:val="0"/>
          <w:sz w:val="24"/>
        </w:rPr>
      </w:pPr>
      <w:r>
        <w:rPr>
          <w:rFonts w:hint="eastAsia" w:ascii="宋体" w:hAnsi="宋体" w:cs="宋体"/>
          <w:b/>
          <w:color w:val="000000"/>
          <w:kern w:val="0"/>
          <w:sz w:val="24"/>
        </w:rPr>
        <w:t>六、签订合同</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双方共同签订《</w:t>
      </w:r>
      <w:bookmarkStart w:id="6" w:name="_Hlk160810094"/>
      <w:r>
        <w:rPr>
          <w:rFonts w:hint="eastAsia" w:ascii="宋体" w:hAnsi="宋体" w:cs="宋体"/>
          <w:color w:val="000000"/>
          <w:kern w:val="0"/>
          <w:sz w:val="24"/>
        </w:rPr>
        <w:t>湖南化工职业技术学院2024年</w:t>
      </w:r>
      <w:bookmarkEnd w:id="6"/>
      <w:r>
        <w:rPr>
          <w:rFonts w:hint="eastAsia" w:ascii="宋体" w:hAnsi="宋体" w:cs="宋体"/>
          <w:color w:val="000000"/>
          <w:kern w:val="0"/>
          <w:sz w:val="24"/>
          <w:lang w:eastAsia="zh-CN"/>
        </w:rPr>
        <w:t>学校重要活动文化用品采购项目</w:t>
      </w:r>
      <w:r>
        <w:rPr>
          <w:rFonts w:hint="eastAsia" w:ascii="宋体" w:hAnsi="宋体" w:cs="宋体"/>
          <w:color w:val="000000"/>
          <w:kern w:val="0"/>
          <w:sz w:val="24"/>
        </w:rPr>
        <w:t>合同书》。</w:t>
      </w:r>
    </w:p>
    <w:p>
      <w:pPr>
        <w:spacing w:line="360" w:lineRule="auto"/>
        <w:ind w:firstLine="482" w:firstLineChars="200"/>
        <w:rPr>
          <w:rFonts w:ascii="宋体" w:hAnsi="宋体" w:cs="宋体"/>
          <w:b/>
          <w:bCs/>
          <w:color w:val="000000"/>
          <w:kern w:val="0"/>
          <w:sz w:val="24"/>
        </w:rPr>
      </w:pPr>
      <w:r>
        <w:rPr>
          <w:rFonts w:hint="eastAsia" w:ascii="宋体" w:hAnsi="宋体" w:cs="宋体"/>
          <w:b/>
          <w:bCs/>
          <w:color w:val="000000"/>
          <w:sz w:val="24"/>
        </w:rPr>
        <w:t>七、供应商资格要求</w:t>
      </w:r>
      <w:r>
        <w:rPr>
          <w:rFonts w:hint="eastAsia" w:ascii="宋体" w:hAnsi="宋体" w:cs="宋体"/>
          <w:b/>
          <w:bCs/>
          <w:color w:val="000000"/>
          <w:kern w:val="0"/>
          <w:sz w:val="24"/>
        </w:rPr>
        <w:t xml:space="preserve"> </w:t>
      </w:r>
    </w:p>
    <w:p>
      <w:pPr>
        <w:widowControl/>
        <w:ind w:left="284"/>
        <w:rPr>
          <w:rFonts w:ascii="宋体" w:hAnsi="宋体" w:cs="宋体"/>
          <w:color w:val="000000"/>
          <w:kern w:val="0"/>
          <w:sz w:val="24"/>
        </w:rPr>
      </w:pPr>
      <w:r>
        <w:rPr>
          <w:rFonts w:hint="eastAsia" w:ascii="宋体" w:hAnsi="宋体" w:cs="宋体"/>
          <w:color w:val="000000"/>
          <w:kern w:val="0"/>
          <w:sz w:val="24"/>
        </w:rPr>
        <w:t>（一）基本资格条件</w:t>
      </w:r>
    </w:p>
    <w:p>
      <w:pPr>
        <w:pStyle w:val="74"/>
        <w:widowControl/>
        <w:spacing w:line="440" w:lineRule="exact"/>
        <w:ind w:left="420" w:firstLine="0" w:firstLineChars="0"/>
        <w:jc w:val="left"/>
        <w:rPr>
          <w:rFonts w:ascii="宋体" w:hAnsi="宋体" w:cs="宋体"/>
          <w:color w:val="000000"/>
          <w:kern w:val="0"/>
          <w:sz w:val="24"/>
        </w:rPr>
      </w:pPr>
      <w:r>
        <w:rPr>
          <w:rFonts w:hint="eastAsia" w:ascii="宋体" w:hAnsi="宋体" w:cs="宋体"/>
          <w:color w:val="000000"/>
          <w:kern w:val="0"/>
          <w:sz w:val="24"/>
        </w:rPr>
        <w:t>1、具有独立法人资格，工商、税务、组织机构代码等证照齐全；</w:t>
      </w:r>
    </w:p>
    <w:p>
      <w:pPr>
        <w:pStyle w:val="74"/>
        <w:widowControl/>
        <w:numPr>
          <w:ilvl w:val="0"/>
          <w:numId w:val="4"/>
        </w:numPr>
        <w:spacing w:line="440" w:lineRule="exact"/>
        <w:ind w:firstLineChars="0"/>
        <w:jc w:val="left"/>
        <w:rPr>
          <w:rFonts w:ascii="宋体" w:hAnsi="宋体" w:cs="宋体"/>
          <w:color w:val="000000"/>
          <w:kern w:val="0"/>
          <w:sz w:val="24"/>
        </w:rPr>
      </w:pPr>
      <w:r>
        <w:rPr>
          <w:rFonts w:hint="eastAsia" w:ascii="宋体" w:hAnsi="宋体" w:cs="宋体"/>
          <w:color w:val="000000"/>
          <w:kern w:val="0"/>
          <w:sz w:val="24"/>
        </w:rPr>
        <w:t>具有良好的商业信誉和健全的财务会计制度；</w:t>
      </w:r>
    </w:p>
    <w:p>
      <w:pPr>
        <w:pStyle w:val="74"/>
        <w:widowControl/>
        <w:numPr>
          <w:ilvl w:val="0"/>
          <w:numId w:val="4"/>
        </w:numPr>
        <w:spacing w:line="440" w:lineRule="exact"/>
        <w:ind w:firstLineChars="0"/>
        <w:jc w:val="left"/>
        <w:rPr>
          <w:rFonts w:ascii="宋体" w:hAnsi="宋体" w:cs="宋体"/>
          <w:color w:val="000000"/>
          <w:kern w:val="0"/>
          <w:sz w:val="24"/>
        </w:rPr>
      </w:pPr>
      <w:r>
        <w:rPr>
          <w:rFonts w:hint="eastAsia" w:ascii="宋体" w:hAnsi="宋体" w:cs="宋体"/>
          <w:color w:val="000000"/>
          <w:kern w:val="0"/>
          <w:sz w:val="24"/>
        </w:rPr>
        <w:t>具有履行合同所必需的设备和专业技术服务能力；</w:t>
      </w:r>
    </w:p>
    <w:p>
      <w:pPr>
        <w:pStyle w:val="74"/>
        <w:widowControl/>
        <w:spacing w:line="440" w:lineRule="exact"/>
        <w:ind w:left="420" w:firstLine="0" w:firstLineChars="0"/>
        <w:jc w:val="left"/>
        <w:rPr>
          <w:rFonts w:ascii="宋体" w:hAnsi="宋体" w:cs="宋体"/>
          <w:color w:val="000000"/>
          <w:kern w:val="0"/>
          <w:sz w:val="24"/>
        </w:rPr>
      </w:pPr>
      <w:r>
        <w:rPr>
          <w:rFonts w:hint="eastAsia" w:ascii="宋体" w:hAnsi="宋体" w:cs="宋体"/>
          <w:color w:val="000000"/>
          <w:kern w:val="0"/>
          <w:sz w:val="24"/>
        </w:rPr>
        <w:t>4、有依法缴纳税收和社会保障资金的良好记录；</w:t>
      </w:r>
    </w:p>
    <w:p>
      <w:pPr>
        <w:pStyle w:val="74"/>
        <w:widowControl/>
        <w:spacing w:line="440" w:lineRule="exact"/>
        <w:ind w:left="420" w:firstLine="0" w:firstLineChars="0"/>
        <w:jc w:val="left"/>
        <w:rPr>
          <w:rFonts w:ascii="宋体" w:hAnsi="宋体" w:cs="宋体"/>
          <w:color w:val="000000"/>
          <w:kern w:val="0"/>
          <w:sz w:val="24"/>
        </w:rPr>
      </w:pPr>
      <w:r>
        <w:rPr>
          <w:rFonts w:hint="eastAsia" w:ascii="宋体" w:hAnsi="宋体" w:cs="宋体"/>
          <w:color w:val="000000"/>
          <w:kern w:val="0"/>
          <w:sz w:val="24"/>
        </w:rPr>
        <w:t>5、参加政府采购活动前三年内，在经营活动中没有重大违法记录；</w:t>
      </w:r>
    </w:p>
    <w:p>
      <w:pPr>
        <w:pStyle w:val="74"/>
        <w:widowControl/>
        <w:spacing w:line="440" w:lineRule="exact"/>
        <w:ind w:left="420" w:firstLine="0" w:firstLineChars="0"/>
        <w:jc w:val="left"/>
        <w:rPr>
          <w:rFonts w:ascii="宋体" w:hAnsi="宋体" w:cs="宋体"/>
          <w:color w:val="000000"/>
          <w:kern w:val="0"/>
          <w:sz w:val="24"/>
        </w:rPr>
      </w:pPr>
      <w:r>
        <w:rPr>
          <w:rFonts w:hint="eastAsia" w:ascii="宋体" w:hAnsi="宋体" w:cs="宋体"/>
          <w:color w:val="000000"/>
          <w:sz w:val="24"/>
        </w:rPr>
        <w:t>6、已入驻湖南省财政厅政府采购电子卖场证明。</w:t>
      </w:r>
    </w:p>
    <w:p>
      <w:pPr>
        <w:pStyle w:val="74"/>
        <w:widowControl/>
        <w:spacing w:line="440" w:lineRule="exact"/>
        <w:ind w:left="420" w:firstLine="0" w:firstLineChars="0"/>
        <w:jc w:val="left"/>
        <w:rPr>
          <w:rFonts w:ascii="宋体" w:hAnsi="宋体" w:cs="宋体"/>
          <w:color w:val="000000"/>
          <w:kern w:val="0"/>
          <w:sz w:val="24"/>
        </w:rPr>
      </w:pPr>
      <w:r>
        <w:rPr>
          <w:rFonts w:hint="eastAsia" w:ascii="宋体" w:hAnsi="宋体" w:cs="宋体"/>
          <w:color w:val="000000"/>
          <w:kern w:val="0"/>
          <w:sz w:val="24"/>
        </w:rPr>
        <w:t>7、法律、行政法规规定的其他条件。</w:t>
      </w:r>
    </w:p>
    <w:p>
      <w:pPr>
        <w:pStyle w:val="74"/>
        <w:widowControl/>
        <w:spacing w:line="440" w:lineRule="exact"/>
        <w:ind w:left="420" w:firstLine="0" w:firstLineChars="0"/>
        <w:jc w:val="left"/>
        <w:rPr>
          <w:rFonts w:ascii="宋体" w:hAnsi="宋体" w:cs="宋体"/>
          <w:color w:val="000000"/>
          <w:kern w:val="0"/>
          <w:sz w:val="24"/>
        </w:rPr>
      </w:pPr>
      <w:r>
        <w:rPr>
          <w:rFonts w:hint="eastAsia" w:ascii="宋体" w:hAnsi="宋体" w:cs="宋体"/>
          <w:color w:val="000000"/>
          <w:kern w:val="0"/>
          <w:sz w:val="24"/>
        </w:rPr>
        <w:t>8、本项目不接受联合体参与投标。</w:t>
      </w:r>
    </w:p>
    <w:p>
      <w:pPr>
        <w:keepNext w:val="0"/>
        <w:keepLines w:val="0"/>
        <w:pageBreakBefore w:val="0"/>
        <w:widowControl/>
        <w:kinsoku/>
        <w:wordWrap/>
        <w:overflowPunct/>
        <w:topLinePunct w:val="0"/>
        <w:autoSpaceDE/>
        <w:autoSpaceDN/>
        <w:bidi w:val="0"/>
        <w:adjustRightInd/>
        <w:snapToGrid/>
        <w:spacing w:before="157" w:beforeLines="50" w:after="157" w:afterLines="50" w:line="420" w:lineRule="exact"/>
        <w:ind w:firstLine="482" w:firstLineChars="200"/>
        <w:jc w:val="left"/>
        <w:textAlignment w:val="auto"/>
        <w:rPr>
          <w:rFonts w:hint="eastAsia" w:ascii="宋体" w:hAnsi="宋体" w:eastAsia="宋体" w:cs="宋体"/>
          <w:b/>
          <w:kern w:val="0"/>
          <w:sz w:val="24"/>
          <w:szCs w:val="24"/>
        </w:rPr>
      </w:pPr>
      <w:r>
        <w:rPr>
          <w:rFonts w:hint="eastAsia" w:ascii="宋体" w:hAnsi="宋体" w:cs="宋体"/>
          <w:b/>
          <w:color w:val="000000"/>
          <w:kern w:val="0"/>
          <w:sz w:val="24"/>
        </w:rPr>
        <w:t>八、</w:t>
      </w:r>
      <w:r>
        <w:rPr>
          <w:rFonts w:hint="eastAsia" w:ascii="宋体" w:hAnsi="宋体" w:eastAsia="宋体" w:cs="宋体"/>
          <w:b/>
          <w:kern w:val="0"/>
          <w:sz w:val="24"/>
          <w:szCs w:val="24"/>
        </w:rPr>
        <w:t>购置数量及其它要求</w:t>
      </w:r>
    </w:p>
    <w:p>
      <w:pPr>
        <w:spacing w:line="360" w:lineRule="auto"/>
        <w:ind w:firstLine="480" w:firstLineChars="200"/>
        <w:rPr>
          <w:rFonts w:ascii="宋体" w:hAnsi="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1、</w:t>
      </w:r>
      <w:r>
        <w:rPr>
          <w:rFonts w:hint="eastAsia" w:ascii="宋体" w:hAnsi="宋体" w:eastAsia="宋体" w:cs="宋体"/>
          <w:color w:val="000000" w:themeColor="text1"/>
          <w:sz w:val="24"/>
          <w:szCs w:val="24"/>
          <w14:textFill>
            <w14:solidFill>
              <w14:schemeClr w14:val="tx1"/>
            </w14:solidFill>
          </w14:textFill>
        </w:rPr>
        <w:t>202</w:t>
      </w:r>
      <w:r>
        <w:rPr>
          <w:rFonts w:hint="eastAsia" w:ascii="宋体" w:hAnsi="宋体" w:eastAsia="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14:textFill>
            <w14:solidFill>
              <w14:schemeClr w14:val="tx1"/>
            </w14:solidFill>
          </w14:textFill>
        </w:rPr>
        <w:t>年学校</w:t>
      </w:r>
      <w:r>
        <w:rPr>
          <w:rFonts w:hint="eastAsia" w:ascii="宋体" w:hAnsi="宋体" w:eastAsia="宋体" w:cs="宋体"/>
          <w:color w:val="000000" w:themeColor="text1"/>
          <w:kern w:val="0"/>
          <w:sz w:val="24"/>
          <w:szCs w:val="24"/>
          <w14:textFill>
            <w14:solidFill>
              <w14:schemeClr w14:val="tx1"/>
            </w14:solidFill>
          </w14:textFill>
        </w:rPr>
        <w:t>重要活动文化用品</w:t>
      </w:r>
      <w:r>
        <w:rPr>
          <w:rFonts w:hint="eastAsia" w:ascii="宋体" w:hAnsi="宋体" w:eastAsia="宋体" w:cs="宋体"/>
          <w:color w:val="000000" w:themeColor="text1"/>
          <w:sz w:val="24"/>
          <w:szCs w:val="24"/>
          <w14:textFill>
            <w14:solidFill>
              <w14:schemeClr w14:val="tx1"/>
            </w14:solidFill>
          </w14:textFill>
        </w:rPr>
        <w:t>采购的项目名称、规格及工艺材质见附表：《</w:t>
      </w:r>
      <w:r>
        <w:rPr>
          <w:rFonts w:hint="eastAsia" w:ascii="宋体" w:hAnsi="宋体" w:cs="宋体"/>
          <w:color w:val="000000" w:themeColor="text1"/>
          <w:sz w:val="24"/>
          <w:szCs w:val="24"/>
          <w:lang w:val="en-US" w:eastAsia="zh-CN"/>
          <w14:textFill>
            <w14:solidFill>
              <w14:schemeClr w14:val="tx1"/>
            </w14:solidFill>
          </w14:textFill>
        </w:rPr>
        <w:t>重要活动</w:t>
      </w:r>
      <w:r>
        <w:rPr>
          <w:rFonts w:hint="eastAsia" w:ascii="宋体" w:hAnsi="宋体" w:eastAsia="宋体" w:cs="宋体"/>
          <w:color w:val="000000" w:themeColor="text1"/>
          <w:sz w:val="24"/>
          <w:szCs w:val="24"/>
          <w:lang w:eastAsia="zh-CN"/>
          <w14:textFill>
            <w14:solidFill>
              <w14:schemeClr w14:val="tx1"/>
            </w14:solidFill>
          </w14:textFill>
        </w:rPr>
        <w:t>文化</w:t>
      </w:r>
      <w:r>
        <w:rPr>
          <w:rFonts w:hint="eastAsia" w:ascii="宋体" w:hAnsi="宋体" w:eastAsia="宋体" w:cs="宋体"/>
          <w:color w:val="000000" w:themeColor="text1"/>
          <w:sz w:val="24"/>
          <w:szCs w:val="24"/>
          <w14:textFill>
            <w14:solidFill>
              <w14:schemeClr w14:val="tx1"/>
            </w14:solidFill>
          </w14:textFill>
        </w:rPr>
        <w:t>用品报价表》</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kern w:val="0"/>
          <w:sz w:val="24"/>
          <w14:textFill>
            <w14:solidFill>
              <w14:schemeClr w14:val="tx1"/>
            </w14:solidFill>
          </w14:textFill>
        </w:rPr>
        <w:t>数量以实际供货数量为准。供货期为1年，</w:t>
      </w:r>
      <w:bookmarkStart w:id="7" w:name="_Hlk144223076"/>
      <w:r>
        <w:rPr>
          <w:rFonts w:hint="eastAsia" w:ascii="宋体" w:hAnsi="宋体" w:cs="宋体"/>
          <w:color w:val="000000" w:themeColor="text1"/>
          <w:kern w:val="0"/>
          <w:sz w:val="24"/>
          <w14:textFill>
            <w14:solidFill>
              <w14:schemeClr w14:val="tx1"/>
            </w14:solidFill>
          </w14:textFill>
        </w:rPr>
        <w:t>供货期内乙方按不高于招标价供货；如果出现物品价格下调，乙方按下调价格供货；甲方需要采购合同清单中没有的物品时，乙方承诺按市场价供货。</w:t>
      </w:r>
    </w:p>
    <w:bookmarkEnd w:id="7"/>
    <w:p>
      <w:pPr>
        <w:widowControl/>
        <w:spacing w:line="400" w:lineRule="exact"/>
        <w:ind w:firstLine="480" w:firstLineChars="200"/>
        <w:jc w:val="lef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3、若遇甲方临时追加采购计划，应及时送货上门，响应时间在24小时之内；</w:t>
      </w:r>
    </w:p>
    <w:p>
      <w:pPr>
        <w:widowControl/>
        <w:spacing w:line="400" w:lineRule="exact"/>
        <w:ind w:firstLine="480" w:firstLineChars="200"/>
        <w:jc w:val="lef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4、请在标书中注明服务承诺；</w:t>
      </w:r>
    </w:p>
    <w:p>
      <w:pPr>
        <w:widowControl/>
        <w:spacing w:line="400" w:lineRule="exact"/>
        <w:ind w:firstLine="480" w:firstLineChars="200"/>
        <w:jc w:val="left"/>
        <w:rPr>
          <w:rFonts w:hint="eastAsia"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5、报价包含</w:t>
      </w:r>
      <w:r>
        <w:rPr>
          <w:rFonts w:hint="eastAsia" w:ascii="宋体" w:hAnsi="宋体" w:eastAsia="宋体" w:cs="宋体"/>
          <w:b w:val="0"/>
          <w:bCs/>
          <w:color w:val="000000" w:themeColor="text1"/>
          <w:kern w:val="0"/>
          <w:sz w:val="24"/>
          <w:szCs w:val="24"/>
          <w14:textFill>
            <w14:solidFill>
              <w14:schemeClr w14:val="tx1"/>
            </w14:solidFill>
          </w14:textFill>
        </w:rPr>
        <w:t>设计、安装或高空安装的均包设计、安装、维护、拆除</w:t>
      </w:r>
      <w:r>
        <w:rPr>
          <w:rFonts w:hint="eastAsia" w:ascii="宋体" w:hAnsi="宋体" w:eastAsia="宋体" w:cs="宋体"/>
          <w:b w:val="0"/>
          <w:bCs/>
          <w:color w:val="000000" w:themeColor="text1"/>
          <w:kern w:val="0"/>
          <w:sz w:val="24"/>
          <w:szCs w:val="24"/>
          <w:lang w:val="en-US" w:eastAsia="zh-CN"/>
          <w14:textFill>
            <w14:solidFill>
              <w14:schemeClr w14:val="tx1"/>
            </w14:solidFill>
          </w14:textFill>
        </w:rPr>
        <w:t>等</w:t>
      </w:r>
      <w:r>
        <w:rPr>
          <w:rFonts w:hint="eastAsia" w:ascii="宋体" w:hAnsi="宋体" w:cs="宋体"/>
          <w:color w:val="000000" w:themeColor="text1"/>
          <w:kern w:val="0"/>
          <w:sz w:val="24"/>
          <w14:textFill>
            <w14:solidFill>
              <w14:schemeClr w14:val="tx1"/>
            </w14:solidFill>
          </w14:textFill>
        </w:rPr>
        <w:t>所承诺的各项服务的费用等，即为最终价格。如有产品的规格与报价清单中给定的规格不同，请在备注栏里说明。</w:t>
      </w:r>
    </w:p>
    <w:p>
      <w:pPr>
        <w:spacing w:line="360" w:lineRule="auto"/>
        <w:jc w:val="center"/>
        <w:rPr>
          <w:rFonts w:hint="eastAsia" w:ascii="黑体" w:hAnsi="黑体" w:eastAsia="黑体" w:cs="宋体"/>
          <w:b/>
          <w:bCs w:val="0"/>
          <w:kern w:val="0"/>
          <w:sz w:val="44"/>
          <w:szCs w:val="44"/>
        </w:rPr>
      </w:pPr>
      <w:r>
        <w:rPr>
          <w:rFonts w:hint="eastAsia" w:ascii="黑体" w:hAnsi="黑体" w:eastAsia="黑体" w:cs="宋体"/>
          <w:b/>
          <w:bCs w:val="0"/>
          <w:kern w:val="0"/>
          <w:sz w:val="44"/>
          <w:szCs w:val="44"/>
        </w:rPr>
        <w:t>重要活动文化用品报价表</w:t>
      </w:r>
    </w:p>
    <w:tbl>
      <w:tblPr>
        <w:tblStyle w:val="13"/>
        <w:tblW w:w="5326" w:type="pct"/>
        <w:tblInd w:w="-8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93"/>
        <w:gridCol w:w="2828"/>
        <w:gridCol w:w="1708"/>
        <w:gridCol w:w="2271"/>
        <w:gridCol w:w="756"/>
        <w:gridCol w:w="19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Style w:val="82"/>
                <w:lang w:val="en-US" w:eastAsia="zh-CN" w:bidi="ar"/>
              </w:rPr>
              <w:t>序号</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Style w:val="82"/>
                <w:lang w:val="en-US" w:eastAsia="zh-CN" w:bidi="ar"/>
              </w:rPr>
              <w:t>名称</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Style w:val="82"/>
                <w:lang w:val="en-US" w:eastAsia="zh-CN" w:bidi="ar"/>
              </w:rPr>
              <w:t>规格</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Style w:val="82"/>
                <w:lang w:val="en-US" w:eastAsia="zh-CN" w:bidi="ar"/>
              </w:rPr>
              <w:t>工艺材质</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Style w:val="82"/>
                <w:lang w:val="en-US" w:eastAsia="zh-CN" w:bidi="ar"/>
              </w:rPr>
              <w:t>单位</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Style w:val="82"/>
                <w:lang w:val="en-US" w:eastAsia="zh-CN" w:bidi="ar"/>
              </w:rPr>
              <w:t>报价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活动文案设计及效果图打印</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铜版纸彩色打印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P</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排版打印</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黑白</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P</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排版彩色打印</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彩色激光打印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P</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骑马订</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订书针订</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本</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普通打孔装订</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彩色封面</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本</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彩色封面装订</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彩色印刷压膜</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本</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硬盒精装</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硬盒精装</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本</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彩色纸打印：列如：粉红</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A4粉红色复印纸</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P</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文件扫描</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电子稿</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会议座位对号入座彩色打印：每张名字号码对应</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10*20厘米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铜版纸彩打</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粉红色燕尾签排版制作</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A4彩色打印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二维码制作</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12*12厘米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会议餐劵彩色打印制作:具体尺寸</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10*20厘米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铜版纸彩打</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单位简介排版设计制作:图文表格混排</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55*90厘米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 xml:space="preserve">   户外写真机喷550布</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不锈钢或钛金牌腐蚀：包安装</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0.4*0.6米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腐蚀牌</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工作指南</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A3</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300克铜版纸双面打印覆膜压痕</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工作牌 挂脖胸牌（内芯彩印）</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B7</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300克铜版纸双面彩印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工作牌 挂脖胸牌（内芯彩印）</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A2</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300克铜版纸双面彩印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工作牌 PVC胸牌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B7</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300克铜版纸双面彩印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工作牌 胸牌（内芯彩印）</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A1</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300克铜版纸双面彩印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胸牌带子丝印</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1.5厘米宽</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牛皮纸文件袋</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牛皮纸加厚</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抽杆文件夹</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通用加厚</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透明文件袋</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通用加厚</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手提袋定制</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28*38*10</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300克白卡纸，28*38*10，棉绳40</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资料袋定制</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文件盒定制</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157克铜版纸彩色排版打印</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铜版纸彩打</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面</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200克铜板纸彩色排版打印</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铜版纸彩打</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面</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250克铜板纸彩色排版打印</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铜版纸彩打</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面</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名片印刷</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200张一盒</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盒</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名片印刷</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500张一盒</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盒</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活动照片打印</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5寸</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彩色相片纸打印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寸照打印</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寸照</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彩色相片纸打印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证书排版打印</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铜版纸彩色打印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250克铜板纸留学生录取通知书排版打印</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红头文件</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A4复印纸彩色打印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活动宣传彩页：157克铜版纸彩色排版双面印刷（5000张以下）</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157克铜版纸双面覆膜压痕</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活动宣传彩页：157克铜版纸彩色排版双面印刷（5000张以上）</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157克铜版纸双面覆膜压痕</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活动宣传彩页：200克铜版纸彩色排版双面印刷（5000张以下）</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200克铜版纸双面覆膜压痕</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活动宣传彩页：200克铜版纸彩色排版双面印刷（5000张以上）</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200克铜版纸双面覆膜压痕</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印数字乒乒球</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丝印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警戒线印制：丝印</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220米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丝印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幅</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证书排版打印</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铜版纸彩色打印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证书下载打印</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铜版纸彩色打印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荣誉证书制作</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整套</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荣誉证书制作</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8k</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整套</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300克铜板纸烫金荣誉证书排版打印</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荣誉证书彩纸打印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300克铜板纸烫金荣誉证书排版打印</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8开</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荣誉证书彩纸打印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聘书制作</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聘书彩纸打印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聘书制作</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8K</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聘书整套制作</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聘书烫金制作</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聘书彩纸打印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聘书烫金制作</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8K</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聘书整套制作</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烫金聘书制作</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聘书彩纸打印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结业证书制作</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聘书整套制作</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烫金结业证书制作</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聘书整套制作</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节目单设计制作</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A3铜版纸250克打印对折</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烫金节目单设计制作</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A3铜版纸250克打印对折</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知识竞赛卡片</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铜版纸打印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场次卡：具体要求</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铜版纸打印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三角立牌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15*35厘米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Pvc户外写真</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亚克力桌牌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公开栏A4亚克力框</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透明亚克力</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公开栏A5亚克力框</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A5</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透明亚克力</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5寸相框</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5寸</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透明亚克力</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科室牌（门牌）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30x15cm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铝合金底板烤漆+丝印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门贴：指定门安装一块</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30*40厘米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A4彩色户外PP</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手举牌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0.4*0.6米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永弘户外车贴裱板</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机位牌制作：根据机位尺寸</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20*60厘米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永弘户外车贴</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抽签箱制作：5个面</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20*30厘米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永弘户外车贴</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地贴指示牌：安装于指定地点</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0.6*1.2米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永弘户外车贴</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墙贴指示牌：安装于指定地点</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0.6*1.2米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永弘户外车贴</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区域指示牌：安装于指定地点</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0.6*1.2米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永弘户外车贴</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运动员丝印号码牌：A4,按顺序每个数字一个</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银雕布</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比赛队员服装印字</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丝印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件</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8厘米椭圆形标识牌：安装于指定地点</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8厘米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户外车贴</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6厘米三角形标识牌：安装于指定地点</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6厘米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户外车贴</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6厘米正方形标识牌：安装于指定地点</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6厘米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户外车贴</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2厘米地标线：安装于指定地点</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2厘米宽</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地板胶</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米</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5厘米地标警戒线：安装于指定地点</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5厘米宽</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地板胶</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米</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7.5厘米地标警戒线：安装于指定地点</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7.5厘米宽</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地板胶</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米</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设备铝铭牌丝印</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12*18</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丝印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不干胶字</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厘米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进口材质</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厘米</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油漆划线</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10厘米宽</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米</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奖杯</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71cm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金属材质+雕刻内容</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奖杯</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62cm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金属材质+雕刻内容</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金箔奖牌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40*60</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金箔奖牌</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金箔奖牌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35*50</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金箔奖牌</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金箔奖牌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20*35</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金箔奖牌</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玻璃腰线：</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12厘米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户外车贴</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米</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玻璃贴膜</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亚膜</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X展架</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80*180</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PP胶片</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X展架</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120*200</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PP胶片</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L 形单位迎检牌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60x80cm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不锈钢支架+亚克力 UV 印刷</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21"/>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易拉宝</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80*180</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PP胶片</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易拉宝</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120*200</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PP胶片</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门型展架</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80*180</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门型展架：指定地点摆放回收，一个酒店一个</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1.8*0.8米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永弘户外车贴</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讲台标签</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30*70</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户外膜</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活动展板设计</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次</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宣传网页设计</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次</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彩屏排版</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电子稿</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版</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PPT制作</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电子稿</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版</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比赛用3D LOGO设计</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次</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赛场平面设计</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次</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活动LOGO设计制作</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次</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消防疏散示意图设计</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次</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校史馆内容更换：设计安装维护</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户外写真</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宣传展板更换</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120*240</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大型展板设计制作</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30米*2米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10厘米圆形号码牌：直径10厘米</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10厘米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户外车贴</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可移动式铝制宣传板</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120x240cm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铝型材+PVC 写真画+玻璃</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21"/>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不锈钢指引牌：指定地点摆放回收</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0.8*1.2米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永弘户外车贴</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不锈钢架成绩公布栏</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1．2*2.4米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永弘户外车贴</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现场布置严禁牌/提示牌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60x80cm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5mm 透明亚克力+UV 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现场布置严禁牌/提示牌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35x12cm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5mm 透明亚克力+丝印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手提式海报架</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60x90cm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锌钢支架+5mmPVC 板写真</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横幅、竖幅：包装包拆包维护（10天左右）</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70厘米高</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牛津布</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米</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横幅、竖幅：包装包拆包维护（10天左右）</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100厘米高</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牛津布</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米</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彩色旗帜双喷布条幅、竖幅：包装包拆包维护（10天左右）</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70厘米高</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旗帜布</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米</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彩色旗帜双喷布条幅、竖幅：包装包拆包维护（10天左右）</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100厘米高</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旗帜布</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米</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丝印彩旗校旗</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1号</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银雕布</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面</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丝印彩旗校旗</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2号</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银雕布</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面</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丝印彩旗校旗</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3号</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银雕布</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面</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丝印彩旗校旗</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4号</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银雕布</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面</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不锈钢伸缩旗杆</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2.5米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不锈钢伸缩旗杆</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丝印彩旗：钢钎打孔安装维护（15天左右）</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80*120厘米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银雕布</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3米不锈钢安装旗杆</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25圆管</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运动员丝印号码牌：A4,按顺序每个数字一个</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银雕布</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气飘:氦气8米（4天左右）</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牛津布</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充气拱门（1周左右）</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12米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灯杆宣传标语制作安装更换（不包含架子）:每块80*180，一根灯杆4块，维护一年</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80*180*4块</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高空安装550高精喷绘</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灯杆宣传标语制作安装更换（不包含架子）:每块80*180，一根灯杆4块，维护一年</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80*180*4块</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高空安装黑底布高精喷绘</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节日灯笼</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2米直径</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单个：高空安装</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节日灯笼</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4个一串：高空安装</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串</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活动用钢结构门头造型设计制作</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桁架大展板：4*10米（一个月左右）使用期内维护</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4*10米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 xml:space="preserve"> 立体结构支撑</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次</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桁架大展板：4.5*15米（一个月左右）使用期内维护</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4.5*15米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 xml:space="preserve"> 立体结构支撑</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次</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桁架成果展示板：2.5*30米（30-60天）：分块展板设计</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2.5*30米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550户外写真机高精喷绘穿绳打扣包维护</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次</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桁架搭建：2.5*5米（10天左右） 使用期内维护</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2.5*5米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立体结构支撑</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次</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桁架搭建：3*5米（10天左右）   使用期内维护</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3*5米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立体结构支撑</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次</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桁架隔断黑白布高精喷绘</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1米高</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桁架隔断黑白布高精喷绘</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超过米高</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淋膜板户外车贴隔断</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永弘户外车贴</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淋膜板双面户外车贴隔断</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双面永弘户外车贴</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赛点桁架4*8米（10天左右）使用期内维护</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立体结构</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次</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室内赛场背景板（亚光材质）</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广告淋膜板</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酒店桁架搭建：3*4米（10天左右）晚上10点半以后</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3*4米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立体结构支撑</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次</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w:t>
            </w:r>
          </w:p>
        </w:tc>
        <w:tc>
          <w:tcPr>
            <w:tcW w:w="155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桁架用画布：黑底布户外高精度喷绘</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4*10米</w:t>
            </w:r>
          </w:p>
        </w:tc>
        <w:tc>
          <w:tcPr>
            <w:tcW w:w="156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5米机器喷绘穿绳打扣不拼接包维护</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灯柱上宣传标语制作安装（含架子）</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175X80厘米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175X80厘米3mm 厚U型槽铝条框，25镀锌方管支架，抱箍 3mm钢板 激光切割，80*180520不透光黑底布、高精喷绘</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宣传展板（铝合金落地架）</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120*240</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永弘户外车贴5毫米PVC板</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A字板</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1*2米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双面黑底画面</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4厘米铝合金框制度牌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60*90</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广告淋膜板车贴画面</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4厘米铝合金框制度牌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120*240</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广告淋膜板车贴画面</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铝制固定宣传栏</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3.16*2.5米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2.0厚铝材，阳光板雨棚，耐力板，1.2镀锌板，铝塑板板眉，液压开启</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彩色烤漆铝制宣传栏（含正反面宣传画）</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260*300</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彩色烤漆铝制宣传栏</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宣传栏更换：设计安装维护</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1．2*2.4米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永弘户外高精车贴</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宣传栏阳光板雨棚更换</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3.2*1.2米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6mmPC阳光板</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宣传栏楣板更换</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1.2*2.4米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铝合金框架，铝塑板</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不锈钢宣传栏</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3.16*2.5米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1.2厚304不锈钢，阳光板雨棚，大芯板，钢化玻璃</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可移动式铝制宣传栏</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120x240cm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铝型材+PVC 写真画+玻璃</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台座铭牌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20x10cm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3mm 亚克力+UV 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台座铭牌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30x40cm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3mm 亚克力+UV 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楼层牌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φ 30</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5mm 透明亚克力+UV 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楼层牌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φ 40</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5mm 透明亚克力+UV 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室内党建宣传</w:t>
            </w:r>
          </w:p>
        </w:tc>
        <w:tc>
          <w:tcPr>
            <w:tcW w:w="2191"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2.0PVC板亚克力立体字，设计安装</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室内党建宣传</w:t>
            </w:r>
          </w:p>
        </w:tc>
        <w:tc>
          <w:tcPr>
            <w:tcW w:w="2191"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2.0PVC UV打印，设计安装</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室内党建宣传</w:t>
            </w:r>
          </w:p>
        </w:tc>
        <w:tc>
          <w:tcPr>
            <w:tcW w:w="2191"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2.0PVC板UV打印，过水晶片，设计安装</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文化墙宣传</w:t>
            </w:r>
          </w:p>
        </w:tc>
        <w:tc>
          <w:tcPr>
            <w:tcW w:w="2191"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2.0PVC板亚克力立体字，设计安装</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文化墙宣传</w:t>
            </w:r>
          </w:p>
        </w:tc>
        <w:tc>
          <w:tcPr>
            <w:tcW w:w="2191"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2.0PVC UV打印，设计安装</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文化墙宣传</w:t>
            </w:r>
          </w:p>
        </w:tc>
        <w:tc>
          <w:tcPr>
            <w:tcW w:w="2191"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2.0PVC板UV打印，过水晶片，设计安装</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楼层指示牌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60x120cm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5mm 亚克力 UV 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软膜天花更换</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240x120cm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进口 3mm 软膜+UV 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雕刻模板</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双色板+切割</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无需安装</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水晶字制作安装</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现场尺寸</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8毫米水晶板，3毫米亚克力面板雕刻切割</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PVC亚克力字</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现场尺寸</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2厘米PVC板，3毫米亚克力面板雕刻切割</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共挤 PVC 立体字</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2cm 共挤板（颜色可选）+线切割成型</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简易安装</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精工字</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1.2mm 不锈钢（可烤漆）+激光机无缝焊接</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100x100x8cm 厚，高空安装</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球面钛金字</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0.8mm 钛金板+人工击打成半球面+锡焊接</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高空安装</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树脂发光字</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1.2mm 不锈钢（烤漆）+ 进口树脂料+软型 LED灯条+电源</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简易安装</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迷你发光字</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进口亚克力 5mm+软型 LED 灯条+电源</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50x50cmx2.5cm厚，简易安装</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户外外露穿孔发光字</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1.2mm 不锈钢（烤漆）+面板冲孔+外露点光源</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高空安装</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草坪指示标牌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花草牌，警示牌，温馨提示牌</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不锈钢板+成型焊接+户外高精打印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21"/>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立式户外宣传栏</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240x120cm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1.5mm 镀锌钢板（或不锈钢）+120 方管焊接成型+户外高精车贴打印+立体点缀+防雨棚</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21"/>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大型外喷绘宣传牌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1000x200cm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镀锌钢结构龙骨+镀锌板封底+高精喷绘+不锈钢包边</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21"/>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外墙及栏栅标语字</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80x80cm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1.5mm 不锈钢（或烤漆）折弯成型+共挤板立体字（不锈钢精工字）</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21"/>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围墙及栏栅宣传栏</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240x120cm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∮25mm 镀锌钢管壁厚 4mm+5mm 铝塑板封底+户外高精写真+不锈钢包边</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21"/>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垂直升缩型海报展架</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60+80cm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镀锌钢支架+PVC 板写真画</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垂直升缩型海报展架</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60x120cm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镀锌钢支架+PVC 板写真画</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户外人字形停车指示牌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40+60cm 双面</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不锈钢板管线型+印字</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 米栏（隔离柱）</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100x100cm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不锈钢管+升缩条</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2米栏（隔离柱）</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不锈钢腐蚀牌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35x240cm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1.2mm 不锈钢板+腐蚀用化学品+汽车烤漆</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超亮卡布灯箱</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100x150cm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铝型材边框+高精度软膜天花+LED 灯条+电源</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铁艺灯箱</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60x80cm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1.5mm 镀锌板镂空+3mm 亚克力色片+LED 防水贴片灯+电源</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霓虹灯</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120x60cm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柔性 LED 霓虹灯条成型+3mm 亚克力板</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超簿灯箱</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100x150x3cm 厚</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开启式铝型材+LED 灯+电源+灯片画</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电子灯箱</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60x40x5cm 厚</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 xml:space="preserve">型材+铝塑板穿孔+点光源+电源  </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节日用精神堡垒理念牌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任意尺寸</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1.5mm 不锈钢板（镀锌钢板）+激光切割+精工焊接成型+立体字（户外写真）饰面</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活动线阵全频音响租赁（搭建+彩排+活动时间3天以上）</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双十二寸</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声扬高音质线阵音响</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活动线阵全频音响租赁（时间3天以上）</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双十寸</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声扬高音质线阵音响</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活动线阵超低音响租赁（时间3天以上）</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双十八寸</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声扬高音质线阵音响</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活动线阵全频功放租赁</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2250w</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专业线阵功放</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台</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活动线阵超低功放租赁</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2250w</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专业线阵超低功放</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台</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音频处理器租赁</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1600w</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两进六出</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活动演出音响租赁（时间3天以上）</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双十五寸</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声扬演出音响</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活动演出音响租赁（时间3天以上）</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单十寸</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声扬或者JBL音响</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双十五音响功放租赁</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1500w</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专业音响功放</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台</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话筒租赁</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无线手持话筒</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带话筒接收器+信号放大器</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会议话筒租赁</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有线会议话筒</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带30米以上公母信号线</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电容麦租赁</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专业收音电容麦</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领导发言电容麦+双位底座</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线阵调音台租赁</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32路数字调音台</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活动调音台+维护</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模拟调音台租赁（时间3天以上）</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音响8路或16路模拟调音台</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在学校图书馆举办活动仅租用音响调音台+维护</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舞台加绒加厚地毯</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任意尺寸</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红色/灰色/蓝色/白色等，根据活动要求选择</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电子喷花机租赁（时间3天以上）</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1500w</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活动使用不限次数，并及时补用燃料</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台</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活动LED电子屏租赁（时间3天以上）</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P4户外电子屏</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高清电子屏+搭建+拆卸+现场维护</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活动LED电子屏租赁（时间3天以上）</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P3高清户外电子屏</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高清电子屏+搭建+拆卸+现场维护</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活动LED电子屏租赁（时间3天以上）</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P2高清户外电子屏</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高清电子屏+搭建+拆卸+现场维护</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视频处理器</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凯视达</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视频分屏5个或7个画面，单独租赁在学校活动中</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活动投屏系统</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default"/>
                <w:sz w:val="21"/>
                <w:szCs w:val="21"/>
                <w:lang w:val="en-US" w:eastAsia="zh-CN" w:bidi="ar"/>
              </w:rPr>
            </w:pPr>
            <w:r>
              <w:rPr>
                <w:rStyle w:val="21"/>
                <w:rFonts w:hint="eastAsia"/>
                <w:sz w:val="21"/>
                <w:szCs w:val="21"/>
                <w:lang w:val="en-US" w:eastAsia="zh-CN" w:bidi="ar"/>
              </w:rPr>
              <w:t>无缝投屏</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会议/活动无线投屏到现场电子屏</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电脑光束灯租赁（时间3天以上）</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650w</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650w超亮纯光束灯</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盏</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电脑光束灯租赁（时间3天以上）</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330w</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330w三合一电脑光束灯</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盏</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活动面光灯租赁（时间3天以上）</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4w54珠</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暖白光面光灯</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盏</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灯光架租赁</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灯光配套</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铁艺</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活动面光灯租赁</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108珠</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暖黄光面光灯</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盏</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全彩染色灯租赁（时间3天以上）</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4w</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染色氛围灯</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盏</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电脑切割灯（时间3天以上）</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1500w</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四合一电脑切割灯</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盏</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频闪灯（时间3天以上）</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200w</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活动氛围频闪灯</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盏</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干冰机</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1500w</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活动氛围使用，不限次数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台</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电子签到背景</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5x3米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电子屏签约+电子平板签到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讲台花</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鲜花花艺</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讲台挂式鲜花</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束</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追光灯租赁</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2500w</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大功率追光灯+技术人员</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无缝切换器</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default"/>
                <w:sz w:val="21"/>
                <w:szCs w:val="21"/>
                <w:lang w:val="en-US" w:eastAsia="zh-CN" w:bidi="ar"/>
              </w:rPr>
            </w:pPr>
            <w:r>
              <w:rPr>
                <w:rStyle w:val="21"/>
                <w:rFonts w:hint="eastAsia"/>
                <w:sz w:val="21"/>
                <w:szCs w:val="21"/>
                <w:lang w:val="en-US" w:eastAsia="zh-CN" w:bidi="ar"/>
              </w:rPr>
              <w:t>无缝切换</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电子屏无缝切换+光纤</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红色皮质文件夹</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A3</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皮质加厚面料</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本</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手掌能量柱租赁</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发光启动能量柱</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签约台租赁</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电子签约台</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签约台+平板电脑+实时投屏系统</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启动台租赁</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推杆流沙台</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活动启动时推杆提现主题</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启动视频制作</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1920x1080</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活动启动视频制作</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活动背景制作（20页以上）</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根据场地背景尺寸做</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活动背景及流程背景、领导嘉宾发言背景等</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沙发租赁</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白色</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领导席沙发租赁</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茶几租赁</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白色</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领导席茶几租赁</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2564" w:type="pct"/>
            <w:gridSpan w:val="3"/>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Style w:val="82"/>
                <w:lang w:val="en-US" w:eastAsia="zh-CN" w:bidi="ar"/>
              </w:rPr>
              <w:t>报价合计（所有项目单价之和）</w:t>
            </w:r>
          </w:p>
        </w:tc>
        <w:tc>
          <w:tcPr>
            <w:tcW w:w="2435" w:type="pct"/>
            <w:gridSpan w:val="3"/>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r>
    </w:tbl>
    <w:p>
      <w:pPr>
        <w:widowControl/>
        <w:spacing w:line="375" w:lineRule="atLeast"/>
        <w:jc w:val="left"/>
        <w:rPr>
          <w:rFonts w:hint="eastAsia" w:ascii="黑体" w:hAnsi="黑体" w:eastAsia="黑体" w:cs="黑体"/>
          <w:b/>
          <w:color w:val="000000"/>
          <w:kern w:val="0"/>
          <w:sz w:val="24"/>
        </w:rPr>
      </w:pPr>
    </w:p>
    <w:p>
      <w:pPr>
        <w:widowControl/>
        <w:spacing w:line="375" w:lineRule="atLeast"/>
        <w:jc w:val="left"/>
        <w:rPr>
          <w:rFonts w:hint="eastAsia" w:ascii="黑体" w:hAnsi="黑体" w:eastAsia="黑体" w:cs="黑体"/>
          <w:b/>
          <w:color w:val="000000"/>
          <w:kern w:val="0"/>
          <w:sz w:val="24"/>
        </w:rPr>
      </w:pPr>
    </w:p>
    <w:p>
      <w:pPr>
        <w:widowControl/>
        <w:spacing w:line="375" w:lineRule="atLeast"/>
        <w:jc w:val="left"/>
        <w:rPr>
          <w:rFonts w:hint="eastAsia" w:ascii="黑体" w:hAnsi="黑体" w:eastAsia="黑体" w:cs="黑体"/>
          <w:b/>
          <w:color w:val="000000"/>
          <w:kern w:val="0"/>
          <w:sz w:val="24"/>
        </w:rPr>
      </w:pPr>
    </w:p>
    <w:p>
      <w:pPr>
        <w:widowControl/>
        <w:spacing w:line="375" w:lineRule="atLeast"/>
        <w:jc w:val="left"/>
        <w:rPr>
          <w:rFonts w:hint="eastAsia" w:ascii="黑体" w:hAnsi="黑体" w:eastAsia="黑体" w:cs="黑体"/>
          <w:b/>
          <w:color w:val="000000"/>
          <w:kern w:val="0"/>
          <w:sz w:val="24"/>
        </w:rPr>
      </w:pPr>
    </w:p>
    <w:p>
      <w:pPr>
        <w:widowControl/>
        <w:spacing w:line="375" w:lineRule="atLeast"/>
        <w:jc w:val="left"/>
        <w:rPr>
          <w:rFonts w:hint="eastAsia" w:ascii="黑体" w:hAnsi="黑体" w:eastAsia="黑体" w:cs="黑体"/>
          <w:b/>
          <w:color w:val="000000"/>
          <w:kern w:val="0"/>
          <w:sz w:val="24"/>
        </w:rPr>
      </w:pPr>
    </w:p>
    <w:p>
      <w:pPr>
        <w:widowControl/>
        <w:spacing w:line="375" w:lineRule="atLeast"/>
        <w:jc w:val="left"/>
        <w:rPr>
          <w:rFonts w:hint="eastAsia" w:ascii="黑体" w:hAnsi="黑体" w:eastAsia="黑体" w:cs="黑体"/>
          <w:b/>
          <w:color w:val="000000"/>
          <w:kern w:val="0"/>
          <w:sz w:val="24"/>
        </w:rPr>
      </w:pPr>
    </w:p>
    <w:p>
      <w:pPr>
        <w:widowControl/>
        <w:spacing w:line="375" w:lineRule="atLeast"/>
        <w:jc w:val="left"/>
        <w:rPr>
          <w:rFonts w:hint="eastAsia" w:ascii="黑体" w:hAnsi="黑体" w:eastAsia="黑体" w:cs="黑体"/>
          <w:b/>
          <w:color w:val="000000"/>
          <w:kern w:val="0"/>
          <w:sz w:val="24"/>
        </w:rPr>
      </w:pPr>
    </w:p>
    <w:p>
      <w:pPr>
        <w:widowControl/>
        <w:spacing w:line="375" w:lineRule="atLeast"/>
        <w:jc w:val="left"/>
        <w:rPr>
          <w:rFonts w:hint="eastAsia" w:ascii="黑体" w:hAnsi="黑体" w:eastAsia="黑体" w:cs="黑体"/>
          <w:b/>
          <w:color w:val="000000"/>
          <w:kern w:val="0"/>
          <w:sz w:val="24"/>
        </w:rPr>
      </w:pPr>
    </w:p>
    <w:p>
      <w:pPr>
        <w:widowControl/>
        <w:spacing w:line="375" w:lineRule="atLeast"/>
        <w:jc w:val="left"/>
        <w:rPr>
          <w:rFonts w:hint="eastAsia" w:ascii="黑体" w:hAnsi="黑体" w:eastAsia="黑体" w:cs="黑体"/>
          <w:b/>
          <w:color w:val="000000"/>
          <w:kern w:val="0"/>
          <w:sz w:val="24"/>
        </w:rPr>
      </w:pPr>
    </w:p>
    <w:p>
      <w:pPr>
        <w:widowControl/>
        <w:spacing w:line="375" w:lineRule="atLeast"/>
        <w:jc w:val="left"/>
        <w:rPr>
          <w:rFonts w:hint="eastAsia" w:ascii="黑体" w:hAnsi="黑体" w:eastAsia="黑体" w:cs="黑体"/>
          <w:b/>
          <w:color w:val="000000"/>
          <w:kern w:val="0"/>
          <w:sz w:val="24"/>
        </w:rPr>
      </w:pPr>
    </w:p>
    <w:p>
      <w:pPr>
        <w:widowControl/>
        <w:spacing w:line="375" w:lineRule="atLeast"/>
        <w:jc w:val="left"/>
        <w:rPr>
          <w:rFonts w:hint="eastAsia" w:ascii="黑体" w:hAnsi="黑体" w:eastAsia="黑体" w:cs="黑体"/>
          <w:b/>
          <w:color w:val="000000"/>
          <w:kern w:val="0"/>
          <w:sz w:val="24"/>
        </w:rPr>
      </w:pPr>
    </w:p>
    <w:p>
      <w:pPr>
        <w:widowControl/>
        <w:spacing w:line="375" w:lineRule="atLeast"/>
        <w:jc w:val="left"/>
        <w:rPr>
          <w:rFonts w:hint="eastAsia" w:ascii="黑体" w:hAnsi="黑体" w:eastAsia="黑体" w:cs="黑体"/>
          <w:b/>
          <w:color w:val="000000"/>
          <w:kern w:val="0"/>
          <w:sz w:val="24"/>
        </w:rPr>
      </w:pPr>
    </w:p>
    <w:p>
      <w:pPr>
        <w:widowControl/>
        <w:spacing w:line="375" w:lineRule="atLeast"/>
        <w:jc w:val="left"/>
        <w:rPr>
          <w:rFonts w:hint="eastAsia" w:ascii="黑体" w:hAnsi="黑体" w:eastAsia="黑体" w:cs="黑体"/>
          <w:b/>
          <w:color w:val="000000"/>
          <w:kern w:val="0"/>
          <w:sz w:val="24"/>
        </w:rPr>
      </w:pPr>
    </w:p>
    <w:p>
      <w:pPr>
        <w:widowControl/>
        <w:spacing w:line="375" w:lineRule="atLeast"/>
        <w:jc w:val="left"/>
        <w:rPr>
          <w:rFonts w:hint="eastAsia" w:ascii="黑体" w:hAnsi="黑体" w:eastAsia="黑体" w:cs="黑体"/>
          <w:b/>
          <w:color w:val="000000"/>
          <w:kern w:val="0"/>
          <w:sz w:val="24"/>
        </w:rPr>
      </w:pPr>
    </w:p>
    <w:p>
      <w:pPr>
        <w:widowControl/>
        <w:spacing w:line="375" w:lineRule="atLeast"/>
        <w:jc w:val="left"/>
        <w:rPr>
          <w:rFonts w:hint="eastAsia" w:ascii="黑体" w:hAnsi="黑体" w:eastAsia="黑体" w:cs="黑体"/>
          <w:b/>
          <w:color w:val="000000"/>
          <w:kern w:val="0"/>
          <w:sz w:val="24"/>
        </w:rPr>
      </w:pPr>
    </w:p>
    <w:p>
      <w:pPr>
        <w:widowControl/>
        <w:spacing w:line="375" w:lineRule="atLeast"/>
        <w:jc w:val="left"/>
        <w:rPr>
          <w:rFonts w:hint="eastAsia" w:ascii="黑体" w:hAnsi="黑体" w:eastAsia="黑体" w:cs="黑体"/>
          <w:b/>
          <w:color w:val="000000"/>
          <w:kern w:val="0"/>
          <w:sz w:val="24"/>
        </w:rPr>
      </w:pPr>
    </w:p>
    <w:p>
      <w:pPr>
        <w:widowControl/>
        <w:spacing w:line="375" w:lineRule="atLeast"/>
        <w:jc w:val="left"/>
        <w:rPr>
          <w:rFonts w:hint="eastAsia" w:ascii="黑体" w:hAnsi="黑体" w:eastAsia="黑体" w:cs="黑体"/>
          <w:b/>
          <w:color w:val="000000"/>
          <w:kern w:val="0"/>
          <w:sz w:val="24"/>
        </w:rPr>
      </w:pPr>
    </w:p>
    <w:p>
      <w:pPr>
        <w:widowControl/>
        <w:spacing w:line="375" w:lineRule="atLeast"/>
        <w:jc w:val="left"/>
        <w:rPr>
          <w:rFonts w:hint="eastAsia" w:ascii="黑体" w:hAnsi="黑体" w:eastAsia="黑体" w:cs="黑体"/>
          <w:b/>
          <w:color w:val="000000"/>
          <w:kern w:val="0"/>
          <w:sz w:val="24"/>
        </w:rPr>
      </w:pPr>
    </w:p>
    <w:p>
      <w:pPr>
        <w:widowControl/>
        <w:spacing w:line="375" w:lineRule="atLeast"/>
        <w:jc w:val="left"/>
        <w:rPr>
          <w:rFonts w:hint="eastAsia" w:ascii="黑体" w:hAnsi="黑体" w:eastAsia="黑体" w:cs="黑体"/>
          <w:b/>
          <w:color w:val="000000"/>
          <w:kern w:val="0"/>
          <w:sz w:val="24"/>
        </w:rPr>
      </w:pPr>
    </w:p>
    <w:p>
      <w:pPr>
        <w:widowControl/>
        <w:spacing w:line="375" w:lineRule="atLeast"/>
        <w:jc w:val="left"/>
        <w:rPr>
          <w:rFonts w:hint="eastAsia" w:ascii="黑体" w:hAnsi="黑体" w:eastAsia="黑体" w:cs="黑体"/>
          <w:b/>
          <w:color w:val="000000"/>
          <w:kern w:val="0"/>
          <w:sz w:val="24"/>
        </w:rPr>
      </w:pPr>
    </w:p>
    <w:p>
      <w:pPr>
        <w:widowControl/>
        <w:spacing w:line="375" w:lineRule="atLeast"/>
        <w:jc w:val="left"/>
        <w:rPr>
          <w:rFonts w:ascii="黑体" w:hAnsi="黑体" w:eastAsia="黑体" w:cs="黑体"/>
          <w:b/>
          <w:color w:val="000000"/>
          <w:kern w:val="0"/>
          <w:sz w:val="24"/>
        </w:rPr>
      </w:pPr>
      <w:r>
        <w:rPr>
          <w:rFonts w:hint="eastAsia" w:ascii="黑体" w:hAnsi="黑体" w:eastAsia="黑体" w:cs="黑体"/>
          <w:b/>
          <w:color w:val="000000"/>
          <w:kern w:val="0"/>
          <w:sz w:val="24"/>
        </w:rPr>
        <w:t>附件1</w:t>
      </w:r>
    </w:p>
    <w:p>
      <w:pPr>
        <w:widowControl/>
        <w:spacing w:line="440" w:lineRule="atLeast"/>
        <w:jc w:val="center"/>
        <w:rPr>
          <w:rFonts w:ascii="微软雅黑" w:hAnsi="微软雅黑" w:eastAsia="微软雅黑" w:cs="微软雅黑"/>
          <w:b/>
          <w:color w:val="000000"/>
          <w:kern w:val="0"/>
          <w:sz w:val="28"/>
          <w:szCs w:val="28"/>
        </w:rPr>
      </w:pPr>
      <w:r>
        <w:rPr>
          <w:rFonts w:hint="eastAsia" w:ascii="微软雅黑" w:hAnsi="微软雅黑" w:eastAsia="微软雅黑" w:cs="微软雅黑"/>
          <w:b/>
          <w:color w:val="000000"/>
          <w:kern w:val="0"/>
          <w:sz w:val="28"/>
          <w:szCs w:val="28"/>
        </w:rPr>
        <w:t>湖南化工职业技术学院</w:t>
      </w:r>
    </w:p>
    <w:p>
      <w:pPr>
        <w:widowControl/>
        <w:spacing w:line="440" w:lineRule="atLeast"/>
        <w:jc w:val="center"/>
        <w:rPr>
          <w:rFonts w:ascii="微软雅黑" w:hAnsi="微软雅黑" w:eastAsia="微软雅黑" w:cs="微软雅黑"/>
          <w:b/>
          <w:color w:val="000000"/>
          <w:kern w:val="0"/>
          <w:sz w:val="28"/>
          <w:szCs w:val="28"/>
        </w:rPr>
      </w:pPr>
      <w:r>
        <w:rPr>
          <w:rFonts w:hint="eastAsia" w:ascii="微软雅黑" w:hAnsi="微软雅黑" w:eastAsia="微软雅黑" w:cs="微软雅黑"/>
          <w:b/>
          <w:color w:val="000000"/>
          <w:kern w:val="0"/>
          <w:sz w:val="28"/>
          <w:szCs w:val="28"/>
        </w:rPr>
        <w:t>授权委托书（格式）</w:t>
      </w:r>
    </w:p>
    <w:p>
      <w:pPr>
        <w:widowControl/>
        <w:spacing w:before="156" w:beforeLines="50" w:line="420" w:lineRule="exact"/>
        <w:ind w:firstLine="480" w:firstLineChars="200"/>
        <w:jc w:val="left"/>
        <w:rPr>
          <w:rFonts w:ascii="宋体" w:hAnsi="宋体" w:cs="宋体"/>
          <w:color w:val="000000"/>
          <w:kern w:val="0"/>
          <w:sz w:val="24"/>
        </w:rPr>
      </w:pPr>
      <w:r>
        <w:rPr>
          <w:rFonts w:ascii="宋体" w:hAnsi="宋体" w:cs="宋体"/>
          <w:color w:val="000000"/>
          <w:kern w:val="0"/>
          <w:sz w:val="24"/>
        </w:rPr>
        <w:t>致：湖南</w:t>
      </w:r>
      <w:r>
        <w:rPr>
          <w:rFonts w:hint="eastAsia" w:ascii="宋体" w:hAnsi="宋体" w:cs="宋体"/>
          <w:color w:val="000000"/>
          <w:kern w:val="0"/>
          <w:sz w:val="24"/>
        </w:rPr>
        <w:t>化工职业技术学院</w:t>
      </w:r>
      <w:r>
        <w:rPr>
          <w:rFonts w:ascii="宋体" w:hAnsi="宋体" w:cs="宋体"/>
          <w:color w:val="000000"/>
          <w:kern w:val="0"/>
          <w:sz w:val="24"/>
        </w:rPr>
        <w:t>：</w:t>
      </w:r>
    </w:p>
    <w:p>
      <w:pPr>
        <w:widowControl/>
        <w:spacing w:line="420" w:lineRule="exact"/>
        <w:ind w:left="239" w:leftChars="114" w:firstLine="240" w:firstLineChars="100"/>
        <w:jc w:val="left"/>
        <w:rPr>
          <w:rFonts w:ascii="宋体" w:hAnsi="宋体" w:cs="宋体"/>
          <w:b/>
          <w:bCs/>
          <w:color w:val="000000"/>
          <w:kern w:val="0"/>
          <w:sz w:val="24"/>
        </w:rPr>
      </w:pPr>
      <w:r>
        <w:rPr>
          <w:rFonts w:ascii="宋体" w:hAnsi="宋体" w:cs="宋体"/>
          <w:color w:val="000000"/>
          <w:kern w:val="0"/>
          <w:sz w:val="24"/>
        </w:rPr>
        <w:t>根据</w:t>
      </w:r>
      <w:r>
        <w:rPr>
          <w:rFonts w:hint="eastAsia" w:ascii="宋体" w:hAnsi="宋体" w:cs="宋体"/>
          <w:color w:val="000000"/>
          <w:kern w:val="0"/>
          <w:sz w:val="24"/>
        </w:rPr>
        <w:t>项目</w:t>
      </w:r>
      <w:r>
        <w:rPr>
          <w:rFonts w:ascii="宋体" w:hAnsi="宋体" w:cs="宋体"/>
          <w:color w:val="000000"/>
          <w:kern w:val="0"/>
          <w:sz w:val="24"/>
        </w:rPr>
        <w:t>招标文件的要求</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ascii="宋体" w:hAnsi="宋体" w:cs="宋体"/>
          <w:color w:val="000000"/>
          <w:kern w:val="0"/>
          <w:sz w:val="24"/>
          <w:u w:val="single"/>
        </w:rPr>
        <w:t>（</w:t>
      </w:r>
      <w:r>
        <w:rPr>
          <w:rFonts w:hint="eastAsia" w:ascii="宋体" w:hAnsi="宋体" w:cs="宋体"/>
          <w:color w:val="000000"/>
          <w:kern w:val="0"/>
          <w:sz w:val="24"/>
          <w:u w:val="single"/>
        </w:rPr>
        <w:t>法人代表</w:t>
      </w:r>
      <w:r>
        <w:rPr>
          <w:rFonts w:ascii="宋体" w:hAnsi="宋体" w:cs="宋体"/>
          <w:color w:val="000000"/>
          <w:kern w:val="0"/>
          <w:sz w:val="24"/>
          <w:u w:val="single"/>
        </w:rPr>
        <w:t>全名及</w:t>
      </w:r>
      <w:r>
        <w:rPr>
          <w:rFonts w:hint="eastAsia" w:ascii="宋体" w:hAnsi="宋体" w:cs="宋体"/>
          <w:color w:val="000000"/>
          <w:kern w:val="0"/>
          <w:sz w:val="24"/>
          <w:u w:val="single"/>
        </w:rPr>
        <w:t>职衔；若法人参加则填“法人参加”</w:t>
      </w:r>
      <w:r>
        <w:rPr>
          <w:rFonts w:ascii="宋体" w:hAnsi="宋体" w:cs="宋体"/>
          <w:color w:val="000000"/>
          <w:kern w:val="0"/>
          <w:sz w:val="24"/>
          <w:u w:val="single"/>
        </w:rPr>
        <w:t>）</w:t>
      </w:r>
      <w:r>
        <w:rPr>
          <w:rFonts w:hint="eastAsia" w:ascii="宋体" w:hAnsi="宋体" w:cs="宋体"/>
          <w:color w:val="000000"/>
          <w:kern w:val="0"/>
          <w:sz w:val="24"/>
          <w:u w:val="single"/>
        </w:rPr>
        <w:t xml:space="preserve">   </w:t>
      </w:r>
      <w:r>
        <w:rPr>
          <w:rFonts w:ascii="宋体" w:hAnsi="宋体" w:cs="宋体"/>
          <w:color w:val="000000"/>
          <w:kern w:val="0"/>
          <w:sz w:val="24"/>
        </w:rPr>
        <w:t>经正式授权并以投标人</w:t>
      </w:r>
      <w:r>
        <w:rPr>
          <w:rFonts w:ascii="宋体" w:hAnsi="宋体" w:cs="宋体"/>
          <w:color w:val="000000"/>
          <w:kern w:val="0"/>
          <w:sz w:val="24"/>
          <w:u w:val="single"/>
        </w:rPr>
        <w:t>（投标人</w:t>
      </w:r>
      <w:r>
        <w:rPr>
          <w:rFonts w:hint="eastAsia" w:ascii="宋体" w:hAnsi="宋体" w:cs="宋体"/>
          <w:color w:val="000000"/>
          <w:kern w:val="0"/>
          <w:sz w:val="24"/>
          <w:u w:val="single"/>
        </w:rPr>
        <w:t>单位</w:t>
      </w:r>
      <w:r>
        <w:rPr>
          <w:rFonts w:ascii="宋体" w:hAnsi="宋体" w:cs="宋体"/>
          <w:color w:val="000000"/>
          <w:kern w:val="0"/>
          <w:sz w:val="24"/>
          <w:u w:val="single"/>
        </w:rPr>
        <w:t>名称）</w:t>
      </w:r>
      <w:r>
        <w:rPr>
          <w:rFonts w:hint="eastAsia" w:ascii="宋体" w:hAnsi="宋体" w:cs="宋体"/>
          <w:color w:val="000000"/>
          <w:kern w:val="0"/>
          <w:sz w:val="24"/>
          <w:u w:val="single"/>
        </w:rPr>
        <w:t xml:space="preserve">    </w:t>
      </w:r>
      <w:r>
        <w:rPr>
          <w:rFonts w:ascii="宋体" w:hAnsi="宋体" w:cs="宋体"/>
          <w:color w:val="000000"/>
          <w:kern w:val="0"/>
          <w:sz w:val="24"/>
        </w:rPr>
        <w:t>的名义投标。</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1</w:t>
      </w:r>
      <w:r>
        <w:rPr>
          <w:rFonts w:ascii="宋体" w:hAnsi="宋体" w:cs="宋体"/>
          <w:color w:val="000000"/>
          <w:kern w:val="0"/>
          <w:sz w:val="24"/>
        </w:rPr>
        <w:t>、我们愿遵守招标文件中的各项规定，提供</w:t>
      </w:r>
      <w:r>
        <w:rPr>
          <w:rFonts w:hint="eastAsia" w:ascii="宋体" w:hAnsi="宋体" w:cs="宋体"/>
          <w:color w:val="000000"/>
          <w:kern w:val="0"/>
          <w:sz w:val="24"/>
        </w:rPr>
        <w:t>符合招标人要求的物品及服务</w:t>
      </w:r>
      <w:r>
        <w:rPr>
          <w:rFonts w:ascii="宋体" w:hAnsi="宋体" w:cs="宋体"/>
          <w:color w:val="000000"/>
          <w:kern w:val="0"/>
          <w:sz w:val="24"/>
        </w:rPr>
        <w:t>。</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2</w:t>
      </w:r>
      <w:r>
        <w:rPr>
          <w:rFonts w:ascii="宋体" w:hAnsi="宋体" w:cs="宋体"/>
          <w:color w:val="000000"/>
          <w:kern w:val="0"/>
          <w:sz w:val="24"/>
        </w:rPr>
        <w:t>、同意本投标自投标截止日起</w:t>
      </w:r>
      <w:r>
        <w:rPr>
          <w:rFonts w:hint="eastAsia" w:ascii="宋体" w:hAnsi="宋体"/>
          <w:color w:val="000000"/>
          <w:kern w:val="0"/>
          <w:sz w:val="24"/>
        </w:rPr>
        <w:t>3</w:t>
      </w:r>
      <w:r>
        <w:rPr>
          <w:rFonts w:ascii="宋体" w:hAnsi="宋体" w:cs="宋体"/>
          <w:color w:val="000000"/>
          <w:kern w:val="0"/>
          <w:sz w:val="24"/>
        </w:rPr>
        <w:t>天内有效，如果我们的投标被接受，直至合同生效日，本投标始终有效。</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3</w:t>
      </w:r>
      <w:r>
        <w:rPr>
          <w:rFonts w:ascii="宋体" w:hAnsi="宋体" w:cs="宋体"/>
          <w:color w:val="000000"/>
          <w:kern w:val="0"/>
          <w:sz w:val="24"/>
        </w:rPr>
        <w:t>、我们</w:t>
      </w:r>
      <w:r>
        <w:rPr>
          <w:rFonts w:hint="eastAsia" w:ascii="宋体" w:hAnsi="宋体" w:cs="宋体"/>
          <w:color w:val="000000"/>
          <w:kern w:val="0"/>
          <w:sz w:val="24"/>
        </w:rPr>
        <w:t>已</w:t>
      </w:r>
      <w:r>
        <w:rPr>
          <w:rFonts w:ascii="宋体" w:hAnsi="宋体" w:cs="宋体"/>
          <w:color w:val="000000"/>
          <w:kern w:val="0"/>
          <w:sz w:val="24"/>
        </w:rPr>
        <w:t>详细阅读了全部招标文件及附件。</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4</w:t>
      </w:r>
      <w:r>
        <w:rPr>
          <w:rFonts w:ascii="宋体" w:hAnsi="宋体" w:cs="宋体"/>
          <w:color w:val="000000"/>
          <w:kern w:val="0"/>
          <w:sz w:val="24"/>
        </w:rPr>
        <w:t>、我们同意提供招标人要求的有关投标的其他资料。</w:t>
      </w:r>
    </w:p>
    <w:p>
      <w:pPr>
        <w:widowControl/>
        <w:spacing w:line="420" w:lineRule="exact"/>
        <w:ind w:firstLine="480" w:firstLineChars="200"/>
        <w:jc w:val="left"/>
        <w:rPr>
          <w:rFonts w:ascii="宋体" w:hAnsi="宋体" w:cs="宋体"/>
          <w:color w:val="000000"/>
          <w:kern w:val="0"/>
          <w:sz w:val="24"/>
        </w:rPr>
      </w:pP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授权代表（签字）：</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职</w:t>
      </w:r>
      <w:r>
        <w:rPr>
          <w:rFonts w:ascii="宋体" w:hAnsi="宋体"/>
          <w:color w:val="000000"/>
          <w:kern w:val="0"/>
          <w:sz w:val="24"/>
        </w:rPr>
        <w:t xml:space="preserve">  </w:t>
      </w:r>
      <w:r>
        <w:rPr>
          <w:rFonts w:ascii="宋体" w:hAnsi="宋体" w:cs="宋体"/>
          <w:color w:val="000000"/>
          <w:kern w:val="0"/>
          <w:sz w:val="24"/>
        </w:rPr>
        <w:t>务</w:t>
      </w:r>
      <w:r>
        <w:rPr>
          <w:rFonts w:hint="eastAsia" w:ascii="宋体" w:hAnsi="宋体" w:cs="宋体"/>
          <w:color w:val="000000"/>
          <w:kern w:val="0"/>
          <w:sz w:val="24"/>
        </w:rPr>
        <w:t>：</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375" w:lineRule="atLeast"/>
        <w:jc w:val="left"/>
        <w:rPr>
          <w:rFonts w:ascii="宋体" w:hAnsi="宋体" w:cs="宋体"/>
          <w:bCs/>
          <w:color w:val="000000"/>
          <w:kern w:val="0"/>
          <w:sz w:val="24"/>
        </w:rPr>
      </w:pPr>
      <w:r>
        <w:rPr>
          <w:rFonts w:hint="eastAsia" w:ascii="宋体" w:hAnsi="宋体" w:cs="宋体"/>
          <w:bCs/>
          <w:color w:val="000000"/>
          <w:kern w:val="0"/>
          <w:sz w:val="24"/>
        </w:rPr>
        <w:t>授权代表身份证复印件：</w:t>
      </w:r>
    </w:p>
    <w:tbl>
      <w:tblPr>
        <w:tblStyle w:val="14"/>
        <w:tblW w:w="74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13"/>
        <w:gridCol w:w="3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7" w:hRule="atLeast"/>
        </w:trPr>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（身份证正面）</w:t>
            </w:r>
          </w:p>
        </w:tc>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（身份证反面）</w:t>
            </w:r>
          </w:p>
        </w:tc>
      </w:tr>
    </w:tbl>
    <w:p>
      <w:pPr>
        <w:widowControl/>
        <w:spacing w:line="440" w:lineRule="exact"/>
        <w:ind w:firstLine="480" w:firstLineChars="200"/>
        <w:jc w:val="left"/>
        <w:rPr>
          <w:rFonts w:ascii="宋体" w:hAnsi="宋体" w:cs="宋体"/>
          <w:color w:val="000000"/>
          <w:kern w:val="0"/>
          <w:sz w:val="24"/>
        </w:rPr>
      </w:pP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法人代表（签名）：</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375" w:lineRule="atLeast"/>
        <w:jc w:val="left"/>
        <w:rPr>
          <w:rFonts w:ascii="宋体" w:hAnsi="宋体" w:cs="宋体"/>
          <w:bCs/>
          <w:color w:val="000000"/>
          <w:kern w:val="0"/>
          <w:sz w:val="24"/>
        </w:rPr>
      </w:pPr>
      <w:r>
        <w:rPr>
          <w:rFonts w:hint="eastAsia" w:ascii="宋体" w:hAnsi="宋体" w:cs="宋体"/>
          <w:bCs/>
          <w:color w:val="000000"/>
          <w:kern w:val="0"/>
          <w:sz w:val="24"/>
        </w:rPr>
        <w:t>法人身份证复印件：</w:t>
      </w:r>
    </w:p>
    <w:tbl>
      <w:tblPr>
        <w:tblStyle w:val="14"/>
        <w:tblW w:w="74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13"/>
        <w:gridCol w:w="3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7" w:hRule="atLeast"/>
        </w:trPr>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（身份证正面）</w:t>
            </w:r>
          </w:p>
        </w:tc>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（身份证反面）</w:t>
            </w:r>
          </w:p>
        </w:tc>
      </w:tr>
    </w:tbl>
    <w:p>
      <w:pPr>
        <w:widowControl/>
        <w:spacing w:line="375" w:lineRule="atLeast"/>
        <w:jc w:val="left"/>
        <w:rPr>
          <w:rFonts w:ascii="宋体" w:hAnsi="宋体" w:cs="宋体"/>
          <w:bCs/>
          <w:color w:val="000000"/>
          <w:kern w:val="0"/>
          <w:sz w:val="22"/>
          <w:szCs w:val="22"/>
        </w:rPr>
      </w:pPr>
      <w:r>
        <w:rPr>
          <w:rFonts w:hint="eastAsia" w:ascii="宋体" w:hAnsi="宋体" w:cs="宋体"/>
          <w:bCs/>
          <w:color w:val="000000"/>
          <w:kern w:val="0"/>
          <w:sz w:val="22"/>
          <w:szCs w:val="22"/>
        </w:rPr>
        <w:t>说明：法人直接参加的授权代表签字项可删除或不填；</w:t>
      </w:r>
    </w:p>
    <w:p>
      <w:pPr>
        <w:widowControl/>
        <w:spacing w:before="124" w:beforeLines="40" w:after="124" w:afterLines="40" w:line="375" w:lineRule="atLeast"/>
        <w:jc w:val="both"/>
        <w:rPr>
          <w:rFonts w:hint="eastAsia" w:ascii="黑体" w:hAnsi="黑体" w:eastAsia="黑体" w:cs="黑体"/>
          <w:b/>
          <w:color w:val="000000"/>
          <w:kern w:val="0"/>
          <w:sz w:val="24"/>
        </w:rPr>
      </w:pPr>
      <w:r>
        <w:rPr>
          <w:rFonts w:hint="eastAsia" w:ascii="黑体" w:hAnsi="黑体" w:eastAsia="黑体" w:cs="黑体"/>
          <w:b/>
          <w:color w:val="000000"/>
          <w:kern w:val="0"/>
          <w:sz w:val="24"/>
        </w:rPr>
        <w:t>附件2</w:t>
      </w:r>
    </w:p>
    <w:p>
      <w:pPr>
        <w:widowControl/>
        <w:spacing w:before="124" w:beforeLines="40" w:after="124" w:afterLines="40" w:line="375" w:lineRule="atLeast"/>
        <w:jc w:val="center"/>
        <w:rPr>
          <w:rFonts w:hint="eastAsia" w:ascii="微软雅黑" w:hAnsi="微软雅黑" w:eastAsia="微软雅黑" w:cs="微软雅黑"/>
          <w:color w:val="000000"/>
          <w:kern w:val="0"/>
          <w:sz w:val="28"/>
          <w:szCs w:val="28"/>
        </w:rPr>
      </w:pPr>
      <w:r>
        <w:rPr>
          <w:rFonts w:hint="eastAsia" w:ascii="微软雅黑" w:hAnsi="微软雅黑" w:eastAsia="微软雅黑" w:cs="微软雅黑"/>
          <w:b/>
          <w:color w:val="000000"/>
          <w:kern w:val="0"/>
          <w:sz w:val="28"/>
          <w:szCs w:val="28"/>
        </w:rPr>
        <w:t>服务承诺书（格式）</w:t>
      </w:r>
    </w:p>
    <w:p>
      <w:pPr>
        <w:widowControl/>
        <w:spacing w:line="420" w:lineRule="exact"/>
        <w:ind w:firstLine="480" w:firstLineChars="200"/>
        <w:jc w:val="left"/>
        <w:rPr>
          <w:rFonts w:ascii="宋体" w:hAnsi="宋体" w:cs="宋体"/>
          <w:color w:val="000000"/>
          <w:kern w:val="0"/>
          <w:sz w:val="24"/>
        </w:rPr>
      </w:pPr>
      <w:r>
        <w:rPr>
          <w:rFonts w:ascii="宋体" w:hAnsi="宋体" w:cs="宋体"/>
          <w:color w:val="000000"/>
          <w:kern w:val="0"/>
          <w:sz w:val="24"/>
        </w:rPr>
        <w:t>致：湖南</w:t>
      </w:r>
      <w:r>
        <w:rPr>
          <w:rFonts w:hint="eastAsia" w:ascii="宋体" w:hAnsi="宋体" w:cs="宋体"/>
          <w:color w:val="000000"/>
          <w:kern w:val="0"/>
          <w:sz w:val="24"/>
        </w:rPr>
        <w:t>化工职业技术学院</w:t>
      </w:r>
      <w:r>
        <w:rPr>
          <w:rFonts w:ascii="宋体" w:hAnsi="宋体" w:cs="宋体"/>
          <w:color w:val="000000"/>
          <w:kern w:val="0"/>
          <w:sz w:val="24"/>
        </w:rPr>
        <w:t>：</w:t>
      </w:r>
    </w:p>
    <w:p>
      <w:pPr>
        <w:widowControl/>
        <w:spacing w:line="420" w:lineRule="exact"/>
        <w:ind w:firstLine="960" w:firstLineChars="400"/>
        <w:jc w:val="left"/>
        <w:rPr>
          <w:rFonts w:ascii="宋体" w:hAnsi="宋体" w:cs="宋体"/>
          <w:color w:val="000000"/>
          <w:kern w:val="0"/>
          <w:sz w:val="24"/>
        </w:rPr>
      </w:pPr>
      <w:r>
        <w:rPr>
          <w:rFonts w:ascii="宋体" w:hAnsi="宋体" w:cs="宋体"/>
          <w:color w:val="000000"/>
          <w:kern w:val="0"/>
          <w:sz w:val="24"/>
        </w:rPr>
        <w:t>根据你</w:t>
      </w:r>
      <w:r>
        <w:rPr>
          <w:rFonts w:hint="eastAsia" w:ascii="宋体" w:hAnsi="宋体" w:cs="宋体"/>
          <w:color w:val="000000"/>
          <w:kern w:val="0"/>
          <w:sz w:val="24"/>
        </w:rPr>
        <w:t>院</w:t>
      </w:r>
      <w:r>
        <w:rPr>
          <w:rFonts w:ascii="宋体" w:hAnsi="宋体" w:cs="宋体"/>
          <w:color w:val="000000"/>
          <w:kern w:val="0"/>
          <w:sz w:val="24"/>
        </w:rPr>
        <w:t>招标文件中的要求，我们对所投标的</w:t>
      </w:r>
      <w:r>
        <w:rPr>
          <w:rFonts w:hint="eastAsia" w:ascii="宋体" w:hAnsi="宋体" w:cs="宋体"/>
          <w:color w:val="000000"/>
          <w:kern w:val="0"/>
          <w:sz w:val="24"/>
        </w:rPr>
        <w:t>服务项目</w:t>
      </w:r>
      <w:r>
        <w:rPr>
          <w:rFonts w:ascii="宋体" w:hAnsi="宋体" w:cs="宋体"/>
          <w:color w:val="000000"/>
          <w:kern w:val="0"/>
          <w:sz w:val="24"/>
        </w:rPr>
        <w:t>承诺如下服务：</w:t>
      </w:r>
    </w:p>
    <w:p>
      <w:pPr>
        <w:widowControl/>
        <w:spacing w:line="420" w:lineRule="exact"/>
        <w:ind w:firstLine="964" w:firstLineChars="400"/>
        <w:jc w:val="left"/>
        <w:rPr>
          <w:rFonts w:ascii="宋体" w:hAnsi="宋体" w:cs="宋体"/>
          <w:b/>
          <w:bCs/>
          <w:color w:val="000000"/>
          <w:kern w:val="0"/>
          <w:sz w:val="24"/>
        </w:rPr>
      </w:pPr>
    </w:p>
    <w:p>
      <w:pPr>
        <w:widowControl/>
        <w:spacing w:line="420" w:lineRule="exact"/>
        <w:ind w:firstLine="964" w:firstLineChars="400"/>
        <w:jc w:val="left"/>
        <w:rPr>
          <w:rFonts w:ascii="宋体" w:hAnsi="宋体" w:cs="宋体"/>
          <w:b/>
          <w:bCs/>
          <w:color w:val="000000"/>
          <w:kern w:val="0"/>
          <w:sz w:val="24"/>
        </w:rPr>
      </w:pPr>
    </w:p>
    <w:p>
      <w:pPr>
        <w:widowControl/>
        <w:spacing w:line="420" w:lineRule="exact"/>
        <w:ind w:firstLine="964" w:firstLineChars="400"/>
        <w:jc w:val="left"/>
        <w:rPr>
          <w:rFonts w:ascii="宋体" w:hAnsi="宋体" w:cs="宋体"/>
          <w:b/>
          <w:bCs/>
          <w:color w:val="000000"/>
          <w:kern w:val="0"/>
          <w:sz w:val="24"/>
        </w:rPr>
      </w:pPr>
    </w:p>
    <w:p>
      <w:pPr>
        <w:widowControl/>
        <w:spacing w:line="420" w:lineRule="exact"/>
        <w:ind w:firstLine="964" w:firstLineChars="400"/>
        <w:jc w:val="left"/>
        <w:rPr>
          <w:rFonts w:ascii="宋体" w:hAnsi="宋体" w:cs="宋体"/>
          <w:b/>
          <w:bCs/>
          <w:color w:val="000000"/>
          <w:kern w:val="0"/>
          <w:sz w:val="24"/>
        </w:rPr>
      </w:pPr>
    </w:p>
    <w:p>
      <w:pPr>
        <w:widowControl/>
        <w:spacing w:line="420" w:lineRule="exact"/>
        <w:ind w:firstLine="964" w:firstLineChars="400"/>
        <w:jc w:val="left"/>
        <w:rPr>
          <w:rFonts w:ascii="宋体" w:hAnsi="宋体" w:cs="宋体"/>
          <w:b/>
          <w:bCs/>
          <w:color w:val="000000"/>
          <w:kern w:val="0"/>
          <w:sz w:val="24"/>
        </w:rPr>
      </w:pPr>
      <w:r>
        <w:rPr>
          <w:rFonts w:ascii="宋体" w:hAnsi="宋体" w:cs="宋体"/>
          <w:b/>
          <w:bCs/>
          <w:color w:val="000000"/>
          <w:kern w:val="0"/>
          <w:sz w:val="24"/>
        </w:rPr>
        <w:t>特此承诺</w:t>
      </w:r>
    </w:p>
    <w:p>
      <w:pPr>
        <w:widowControl/>
        <w:spacing w:line="420" w:lineRule="exact"/>
        <w:ind w:firstLine="960" w:firstLineChars="400"/>
        <w:jc w:val="left"/>
        <w:rPr>
          <w:rFonts w:ascii="宋体" w:hAnsi="宋体"/>
          <w:color w:val="000000"/>
          <w:kern w:val="0"/>
          <w:sz w:val="24"/>
        </w:rPr>
      </w:pPr>
      <w:r>
        <w:rPr>
          <w:rFonts w:ascii="宋体" w:hAnsi="宋体" w:cs="宋体"/>
          <w:color w:val="000000"/>
          <w:kern w:val="0"/>
          <w:sz w:val="24"/>
        </w:rPr>
        <w:t>法人代表签字：</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20" w:lineRule="exact"/>
        <w:ind w:firstLine="960" w:firstLineChars="400"/>
        <w:jc w:val="left"/>
        <w:rPr>
          <w:rFonts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ascii="宋体" w:hAnsi="宋体"/>
          <w:color w:val="000000"/>
          <w:kern w:val="0"/>
          <w:sz w:val="24"/>
        </w:rPr>
        <w:t xml:space="preserve"> </w:t>
      </w:r>
    </w:p>
    <w:p>
      <w:pPr>
        <w:widowControl/>
        <w:spacing w:line="375" w:lineRule="atLeast"/>
        <w:ind w:firstLine="117" w:firstLineChars="49"/>
        <w:jc w:val="left"/>
        <w:rPr>
          <w:rFonts w:hint="eastAsia" w:ascii="宋体" w:hAnsi="宋体" w:cs="宋体"/>
          <w:bCs/>
          <w:color w:val="000000"/>
          <w:kern w:val="0"/>
          <w:sz w:val="24"/>
        </w:rPr>
      </w:pPr>
      <w:r>
        <w:rPr>
          <w:rFonts w:hint="eastAsia" w:ascii="宋体" w:hAnsi="宋体" w:cs="宋体"/>
          <w:bCs/>
          <w:color w:val="000000"/>
          <w:kern w:val="0"/>
          <w:sz w:val="24"/>
        </w:rPr>
        <w:t xml:space="preserve"> </w:t>
      </w:r>
    </w:p>
    <w:p>
      <w:pPr>
        <w:widowControl/>
        <w:spacing w:before="124" w:beforeLines="40" w:after="124" w:afterLines="40" w:line="375" w:lineRule="atLeast"/>
        <w:jc w:val="both"/>
        <w:rPr>
          <w:rFonts w:ascii="微软雅黑" w:hAnsi="微软雅黑" w:eastAsia="微软雅黑" w:cs="微软雅黑"/>
          <w:b/>
          <w:color w:val="000000"/>
          <w:kern w:val="0"/>
          <w:sz w:val="28"/>
          <w:szCs w:val="28"/>
        </w:rPr>
      </w:pPr>
    </w:p>
    <w:p>
      <w:pPr>
        <w:widowControl/>
        <w:spacing w:before="124" w:beforeLines="40" w:after="124" w:afterLines="40" w:line="375" w:lineRule="atLeast"/>
        <w:jc w:val="both"/>
        <w:rPr>
          <w:rFonts w:hint="eastAsia" w:ascii="黑体" w:hAnsi="黑体" w:eastAsia="黑体" w:cs="黑体"/>
          <w:b/>
          <w:color w:val="000000"/>
          <w:kern w:val="0"/>
          <w:sz w:val="24"/>
        </w:rPr>
      </w:pPr>
    </w:p>
    <w:p>
      <w:pPr>
        <w:widowControl/>
        <w:spacing w:before="124" w:beforeLines="40" w:after="124" w:afterLines="40" w:line="375" w:lineRule="atLeast"/>
        <w:jc w:val="both"/>
        <w:rPr>
          <w:rFonts w:hint="eastAsia" w:ascii="黑体" w:hAnsi="黑体" w:eastAsia="黑体" w:cs="黑体"/>
          <w:b/>
          <w:color w:val="000000"/>
          <w:kern w:val="0"/>
          <w:sz w:val="24"/>
        </w:rPr>
      </w:pPr>
      <w:r>
        <w:rPr>
          <w:rFonts w:hint="eastAsia" w:ascii="黑体" w:hAnsi="黑体" w:eastAsia="黑体" w:cs="黑体"/>
          <w:b/>
          <w:color w:val="000000"/>
          <w:kern w:val="0"/>
          <w:sz w:val="24"/>
        </w:rPr>
        <w:t>附件3</w:t>
      </w:r>
    </w:p>
    <w:p>
      <w:pPr>
        <w:widowControl/>
        <w:spacing w:before="124" w:beforeLines="40" w:after="124" w:afterLines="40" w:line="375" w:lineRule="atLeast"/>
        <w:jc w:val="center"/>
        <w:rPr>
          <w:rFonts w:ascii="微软雅黑" w:hAnsi="微软雅黑" w:eastAsia="微软雅黑" w:cs="微软雅黑"/>
          <w:b/>
          <w:color w:val="FF0000"/>
          <w:kern w:val="0"/>
          <w:sz w:val="28"/>
          <w:szCs w:val="28"/>
        </w:rPr>
      </w:pPr>
      <w:r>
        <w:rPr>
          <w:rFonts w:hint="eastAsia" w:ascii="微软雅黑" w:hAnsi="微软雅黑" w:eastAsia="微软雅黑" w:cs="微软雅黑"/>
          <w:b/>
          <w:color w:val="000000"/>
          <w:kern w:val="0"/>
          <w:sz w:val="28"/>
          <w:szCs w:val="28"/>
        </w:rPr>
        <w:t>需要提交的资格证明文件</w:t>
      </w:r>
      <w:r>
        <w:rPr>
          <w:rFonts w:hint="eastAsia" w:ascii="微软雅黑" w:hAnsi="微软雅黑" w:eastAsia="微软雅黑" w:cs="微软雅黑"/>
          <w:b/>
          <w:color w:val="FF0000"/>
          <w:kern w:val="0"/>
          <w:sz w:val="28"/>
          <w:szCs w:val="28"/>
        </w:rPr>
        <w:t>（均需要加盖公章）</w:t>
      </w:r>
    </w:p>
    <w:p>
      <w:pPr>
        <w:widowControl/>
        <w:spacing w:before="124" w:beforeLines="40" w:after="124" w:afterLines="40"/>
        <w:jc w:val="center"/>
        <w:rPr>
          <w:rFonts w:ascii="微软雅黑" w:hAnsi="微软雅黑" w:eastAsia="微软雅黑" w:cs="微软雅黑"/>
          <w:bCs/>
          <w:kern w:val="0"/>
          <w:sz w:val="24"/>
        </w:rPr>
      </w:pPr>
      <w:r>
        <w:rPr>
          <w:rFonts w:hint="eastAsia" w:ascii="微软雅黑" w:hAnsi="微软雅黑" w:eastAsia="微软雅黑" w:cs="微软雅黑"/>
          <w:bCs/>
          <w:kern w:val="0"/>
          <w:sz w:val="24"/>
          <w:highlight w:val="green"/>
        </w:rPr>
        <w:t>（除标书内提交的资质证明外，递交响应文件时应同时递交一份资质证明供现场查验）</w:t>
      </w:r>
    </w:p>
    <w:p>
      <w:pPr>
        <w:pStyle w:val="11"/>
        <w:widowControl w:val="0"/>
        <w:adjustRightInd w:val="0"/>
        <w:snapToGrid w:val="0"/>
        <w:spacing w:before="156" w:beforeLines="50" w:beforeAutospacing="0" w:after="0" w:afterAutospacing="0" w:line="360" w:lineRule="auto"/>
        <w:ind w:firstLine="480" w:firstLineChars="200"/>
        <w:rPr>
          <w:rFonts w:cs="宋体"/>
          <w:snapToGrid w:val="0"/>
          <w:color w:val="000000"/>
        </w:rPr>
      </w:pPr>
      <w:r>
        <w:rPr>
          <w:rFonts w:hint="eastAsia" w:cs="宋体"/>
          <w:snapToGrid w:val="0"/>
          <w:color w:val="000000"/>
        </w:rPr>
        <w:t>1、法人提交企业法人营业执照副本(或者法人登记证书)以及组织机构代码证副本复印件及</w:t>
      </w:r>
      <w:r>
        <w:rPr>
          <w:rFonts w:hint="eastAsia" w:cs="宋体"/>
          <w:snapToGrid w:val="0"/>
          <w:color w:val="000000"/>
          <w:highlight w:val="green"/>
        </w:rPr>
        <w:t>参加投标法人授权委托书</w:t>
      </w:r>
      <w:r>
        <w:rPr>
          <w:rFonts w:hint="eastAsia" w:cs="宋体"/>
          <w:snapToGrid w:val="0"/>
          <w:color w:val="000000"/>
        </w:rPr>
        <w:t>；</w:t>
      </w:r>
    </w:p>
    <w:p>
      <w:pPr>
        <w:pStyle w:val="11"/>
        <w:widowControl w:val="0"/>
        <w:adjustRightInd w:val="0"/>
        <w:snapToGrid w:val="0"/>
        <w:spacing w:before="0" w:beforeAutospacing="0" w:after="0" w:afterAutospacing="0" w:line="360" w:lineRule="auto"/>
        <w:ind w:firstLine="480" w:firstLineChars="200"/>
        <w:rPr>
          <w:rFonts w:cs="宋体"/>
          <w:snapToGrid w:val="0"/>
          <w:color w:val="000000"/>
        </w:rPr>
      </w:pPr>
      <w:r>
        <w:rPr>
          <w:rFonts w:hint="eastAsia" w:cs="宋体"/>
          <w:snapToGrid w:val="0"/>
          <w:color w:val="000000"/>
        </w:rPr>
        <w:t>2、供应商具有实行了“三证合一”登记制度改革的新证，视同为持有工商营业执照、组织机构代码证和税务登记证，符合基本资格条件的相关条款；供应商具有实行了“五证合一”登记制度改革的新证，视同持有工商营业执照、组织机构代码证、税务登记证、社会保险登记证和统计登记证，符合基本资格条件的相关条款。供应商如是“三证合一或五证合一”，请自行说明。</w:t>
      </w:r>
    </w:p>
    <w:p>
      <w:pPr>
        <w:pStyle w:val="11"/>
        <w:widowControl w:val="0"/>
        <w:adjustRightInd w:val="0"/>
        <w:snapToGrid w:val="0"/>
        <w:spacing w:before="0" w:beforeAutospacing="0" w:after="0" w:afterAutospacing="0" w:line="360" w:lineRule="auto"/>
        <w:ind w:firstLine="480" w:firstLineChars="200"/>
        <w:rPr>
          <w:rFonts w:cs="宋体"/>
          <w:snapToGrid w:val="0"/>
          <w:color w:val="000000"/>
        </w:rPr>
      </w:pPr>
      <w:r>
        <w:rPr>
          <w:rFonts w:hint="eastAsia" w:cs="宋体"/>
          <w:snapToGrid w:val="0"/>
          <w:color w:val="000000"/>
        </w:rPr>
        <w:t>3、依法缴纳税收和社会保险费的证明材料；</w:t>
      </w:r>
    </w:p>
    <w:p>
      <w:pPr>
        <w:pStyle w:val="11"/>
        <w:widowControl w:val="0"/>
        <w:adjustRightInd w:val="0"/>
        <w:snapToGrid w:val="0"/>
        <w:spacing w:before="0" w:beforeAutospacing="0" w:after="0" w:afterAutospacing="0" w:line="360" w:lineRule="auto"/>
        <w:ind w:firstLine="480" w:firstLineChars="200"/>
        <w:rPr>
          <w:rFonts w:cs="宋体"/>
          <w:bCs/>
          <w:color w:val="000000"/>
        </w:rPr>
      </w:pPr>
      <w:r>
        <w:rPr>
          <w:rFonts w:hint="eastAsia" w:cs="宋体"/>
          <w:bCs/>
          <w:color w:val="000000"/>
        </w:rPr>
        <w:t>4、电子卖场资质证明材料；</w:t>
      </w:r>
    </w:p>
    <w:p>
      <w:pPr>
        <w:pStyle w:val="11"/>
        <w:widowControl w:val="0"/>
        <w:adjustRightInd w:val="0"/>
        <w:snapToGrid w:val="0"/>
        <w:spacing w:before="0" w:beforeAutospacing="0" w:after="0" w:afterAutospacing="0" w:line="360" w:lineRule="auto"/>
        <w:ind w:firstLine="480" w:firstLineChars="200"/>
        <w:rPr>
          <w:bCs/>
          <w:color w:val="000000"/>
          <w:szCs w:val="21"/>
        </w:rPr>
      </w:pPr>
      <w:r>
        <w:rPr>
          <w:rFonts w:hint="eastAsia" w:cs="宋体"/>
          <w:bCs/>
          <w:color w:val="000000"/>
        </w:rPr>
        <w:t>5、资格证明文件复印件须加盖供应商公章。</w:t>
      </w:r>
    </w:p>
    <w:p>
      <w:pPr>
        <w:pStyle w:val="11"/>
        <w:widowControl w:val="0"/>
        <w:adjustRightInd w:val="0"/>
        <w:snapToGrid w:val="0"/>
        <w:spacing w:before="0" w:beforeAutospacing="0" w:after="0" w:afterAutospacing="0" w:line="360" w:lineRule="auto"/>
        <w:ind w:firstLine="480" w:firstLineChars="200"/>
        <w:rPr>
          <w:rFonts w:cs="宋体"/>
          <w:bCs/>
          <w:color w:val="000000"/>
        </w:rPr>
      </w:pPr>
      <w:r>
        <w:rPr>
          <w:rFonts w:hint="eastAsia" w:cs="宋体"/>
          <w:bCs/>
          <w:color w:val="000000"/>
        </w:rPr>
        <w:t>6、特定资格条件证明材料。</w:t>
      </w:r>
    </w:p>
    <w:p>
      <w:pPr>
        <w:adjustRightInd w:val="0"/>
        <w:snapToGrid w:val="0"/>
        <w:spacing w:line="360" w:lineRule="auto"/>
        <w:rPr>
          <w:rFonts w:ascii="黑体" w:hAnsi="黑体" w:eastAsia="黑体" w:cs="黑体"/>
          <w:b/>
          <w:color w:val="000000"/>
          <w:sz w:val="24"/>
        </w:rPr>
      </w:pPr>
      <w:r>
        <w:rPr>
          <w:rFonts w:hint="eastAsia" w:ascii="黑体" w:hAnsi="黑体" w:eastAsia="黑体" w:cs="黑体"/>
          <w:b/>
          <w:color w:val="000000"/>
          <w:sz w:val="24"/>
        </w:rPr>
        <w:t>附件4</w:t>
      </w:r>
    </w:p>
    <w:p>
      <w:pPr>
        <w:adjustRightInd w:val="0"/>
        <w:snapToGrid w:val="0"/>
        <w:spacing w:before="156" w:beforeLines="50" w:line="360" w:lineRule="auto"/>
        <w:jc w:val="center"/>
        <w:rPr>
          <w:rFonts w:ascii="微软雅黑" w:hAnsi="微软雅黑" w:eastAsia="微软雅黑" w:cs="微软雅黑"/>
          <w:color w:val="000000"/>
          <w:sz w:val="28"/>
          <w:szCs w:val="28"/>
        </w:rPr>
      </w:pPr>
      <w:r>
        <w:rPr>
          <w:rFonts w:hint="eastAsia" w:ascii="微软雅黑" w:hAnsi="微软雅黑" w:eastAsia="微软雅黑" w:cs="微软雅黑"/>
          <w:b/>
          <w:color w:val="000000"/>
          <w:sz w:val="28"/>
          <w:szCs w:val="28"/>
        </w:rPr>
        <w:t>开标一览表</w:t>
      </w:r>
    </w:p>
    <w:p>
      <w:pPr>
        <w:adjustRightInd w:val="0"/>
        <w:snapToGrid w:val="0"/>
        <w:spacing w:line="420" w:lineRule="exact"/>
        <w:ind w:left="-88" w:leftChars="-42"/>
        <w:rPr>
          <w:rFonts w:ascii="宋体" w:hAnsi="宋体"/>
          <w:color w:val="000000"/>
          <w:szCs w:val="21"/>
        </w:rPr>
      </w:pPr>
      <w:r>
        <w:rPr>
          <w:rFonts w:hint="eastAsia" w:ascii="宋体" w:hAnsi="宋体"/>
          <w:color w:val="000000"/>
          <w:szCs w:val="21"/>
        </w:rPr>
        <w:t xml:space="preserve">                                                              金额单位：人民币元</w:t>
      </w:r>
    </w:p>
    <w:tbl>
      <w:tblPr>
        <w:tblStyle w:val="13"/>
        <w:tblW w:w="5326" w:type="pct"/>
        <w:tblInd w:w="-8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93"/>
        <w:gridCol w:w="2828"/>
        <w:gridCol w:w="1708"/>
        <w:gridCol w:w="2271"/>
        <w:gridCol w:w="756"/>
        <w:gridCol w:w="19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Style w:val="82"/>
                <w:lang w:val="en-US" w:eastAsia="zh-CN" w:bidi="ar"/>
              </w:rPr>
              <w:t>序号</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Style w:val="82"/>
                <w:lang w:val="en-US" w:eastAsia="zh-CN" w:bidi="ar"/>
              </w:rPr>
              <w:t>名称</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Style w:val="82"/>
                <w:lang w:val="en-US" w:eastAsia="zh-CN" w:bidi="ar"/>
              </w:rPr>
              <w:t>规格</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Style w:val="82"/>
                <w:lang w:val="en-US" w:eastAsia="zh-CN" w:bidi="ar"/>
              </w:rPr>
              <w:t>工艺材质</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Style w:val="82"/>
                <w:lang w:val="en-US" w:eastAsia="zh-CN" w:bidi="ar"/>
              </w:rPr>
              <w:t>单位</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Style w:val="82"/>
                <w:lang w:val="en-US" w:eastAsia="zh-CN" w:bidi="ar"/>
              </w:rPr>
              <w:t>报价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活动文案设计及效果图打印</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铜版纸彩色打印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P</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排版打印</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黑白</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P</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排版彩色打印</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彩色激光打印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P</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骑马订</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订书针订</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本</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普通打孔装订</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彩色封面</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本</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彩色封面装订</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彩色印刷压膜</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本</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硬盒精装</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硬盒精装</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本</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彩色纸打印：列如：粉红</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A4粉红色复印纸</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P</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文件扫描</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电子稿</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会议座位对号入座彩色打印：每张名字号码对应</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10*20厘米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铜版纸彩打</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粉红色燕尾签排版制作</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A4彩色打印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二维码制作</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12*12厘米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会议餐劵彩色打印制作:具体尺寸</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10*20厘米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铜版纸彩打</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单位简介排版设计制作:图文表格混排</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55*90厘米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 xml:space="preserve">   户外写真机喷550布</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不锈钢或钛金牌腐蚀：包安装</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0.4*0.6米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腐蚀牌</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工作指南</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A3</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300克铜版纸双面打印覆膜压痕</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工作牌 挂脖胸牌（内芯彩印）</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B7</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300克铜版纸双面彩印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工作牌 挂脖胸牌（内芯彩印）</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A2</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300克铜版纸双面彩印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工作牌 PVC胸牌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B7</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300克铜版纸双面彩印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工作牌 胸牌（内芯彩印）</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A1</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300克铜版纸双面彩印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胸牌带子丝印</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1.5厘米宽</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牛皮纸文件袋</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牛皮纸加厚</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抽杆文件夹</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通用加厚</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透明文件袋</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通用加厚</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手提袋定制</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28*38*10</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300克白卡纸，28*38*10，棉绳40</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资料袋定制</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文件盒定制</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157克铜版纸彩色排版打印</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铜版纸彩打</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面</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200克铜板纸彩色排版打印</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铜版纸彩打</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面</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250克铜板纸彩色排版打印</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铜版纸彩打</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面</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名片印刷</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200张一盒</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盒</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名片印刷</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500张一盒</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盒</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活动照片打印</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5寸</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彩色相片纸打印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寸照打印</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寸照</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彩色相片纸打印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证书排版打印</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铜版纸彩色打印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250克铜板纸留学生录取通知书排版打印</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红头文件</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A4复印纸彩色打印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活动宣传彩页：157克铜版纸彩色排版双面印刷（5000张以下）</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157克铜版纸双面覆膜压痕</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活动宣传彩页：157克铜版纸彩色排版双面印刷（5000张以上）</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157克铜版纸双面覆膜压痕</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活动宣传彩页：200克铜版纸彩色排版双面印刷（5000张以下）</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200克铜版纸双面覆膜压痕</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活动宣传彩页：200克铜版纸彩色排版双面印刷（5000张以上）</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200克铜版纸双面覆膜压痕</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印数字乒乒球</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丝印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警戒线印制：丝印</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220米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丝印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幅</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证书排版打印</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铜版纸彩色打印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证书下载打印</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铜版纸彩色打印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荣誉证书制作</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整套</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荣誉证书制作</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8k</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整套</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300克铜板纸烫金荣誉证书排版打印</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荣誉证书彩纸打印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300克铜板纸烫金荣誉证书排版打印</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8开</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荣誉证书彩纸打印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聘书制作</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聘书彩纸打印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聘书制作</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8K</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聘书整套制作</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聘书烫金制作</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聘书彩纸打印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聘书烫金制作</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8K</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聘书整套制作</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烫金聘书制作</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聘书彩纸打印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结业证书制作</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聘书整套制作</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烫金结业证书制作</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聘书整套制作</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节目单设计制作</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A3铜版纸250克打印对折</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烫金节目单设计制作</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A3铜版纸250克打印对折</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知识竞赛卡片</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铜版纸打印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场次卡：具体要求</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铜版纸打印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三角立牌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15*35厘米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Pvc户外写真</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亚克力桌牌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公开栏A4亚克力框</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透明亚克力</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公开栏A5亚克力框</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A5</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透明亚克力</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5寸相框</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5寸</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透明亚克力</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科室牌（门牌）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30x15cm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铝合金底板烤漆+丝印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门贴：指定门安装一块</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30*40厘米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A4彩色户外PP</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手举牌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0.4*0.6米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永弘户外车贴裱板</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机位牌制作：根据机位尺寸</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20*60厘米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永弘户外车贴</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抽签箱制作：5个面</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20*30厘米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永弘户外车贴</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地贴指示牌：安装于指定地点</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0.6*1.2米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永弘户外车贴</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墙贴指示牌：安装于指定地点</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0.6*1.2米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永弘户外车贴</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区域指示牌：安装于指定地点</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0.6*1.2米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永弘户外车贴</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运动员丝印号码牌：A4,按顺序每个数字一个</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银雕布</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比赛队员服装印字</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丝印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件</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8厘米椭圆形标识牌：安装于指定地点</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8厘米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户外车贴</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6厘米三角形标识牌：安装于指定地点</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6厘米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户外车贴</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6厘米正方形标识牌：安装于指定地点</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6厘米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户外车贴</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2厘米地标线：安装于指定地点</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2厘米宽</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地板胶</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米</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5厘米地标警戒线：安装于指定地点</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5厘米宽</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地板胶</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米</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7.5厘米地标警戒线：安装于指定地点</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7.5厘米宽</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地板胶</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米</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设备铝铭牌丝印</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12*18</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丝印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不干胶字</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厘米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进口材质</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厘米</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油漆划线</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10厘米宽</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米</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奖杯</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71cm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金属材质+雕刻内容</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奖杯</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62cm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金属材质+雕刻内容</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金箔奖牌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40*60</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金箔奖牌</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金箔奖牌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35*50</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金箔奖牌</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金箔奖牌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20*35</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金箔奖牌</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玻璃腰线：</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12厘米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户外车贴</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米</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玻璃贴膜</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亚膜</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X展架</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80*180</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PP胶片</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X展架</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120*200</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PP胶片</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L 形单位迎检牌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60x80cm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不锈钢支架+亚克力 UV 印刷</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21"/>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易拉宝</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80*180</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PP胶片</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易拉宝</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120*200</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PP胶片</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门型展架</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80*180</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门型展架：指定地点摆放回收，一个酒店一个</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1.8*0.8米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永弘户外车贴</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讲台标签</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30*70</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户外膜</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活动展板设计</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次</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宣传网页设计</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次</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彩屏排版</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电子稿</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版</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PPT制作</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电子稿</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版</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比赛用3D LOGO设计</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次</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赛场平面设计</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次</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活动LOGO设计制作</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次</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消防疏散示意图设计</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次</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校史馆内容更换：设计安装维护</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户外写真</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宣传展板更换</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120*240</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大型展板设计制作</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30米*2米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10厘米圆形号码牌：直径10厘米</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10厘米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户外车贴</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可移动式铝制宣传板</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120x240cm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铝型材+PVC 写真画+玻璃</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21"/>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不锈钢指引牌：指定地点摆放回收</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0.8*1.2米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永弘户外车贴</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不锈钢架成绩公布栏</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1．2*2.4米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永弘户外车贴</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现场布置严禁牌/提示牌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60x80cm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5mm 透明亚克力+UV 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现场布置严禁牌/提示牌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35x12cm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5mm 透明亚克力+丝印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手提式海报架</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60x90cm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锌钢支架+5mmPVC 板写真</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横幅、竖幅：包装包拆包维护（10天左右）</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70厘米高</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牛津布</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米</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横幅、竖幅：包装包拆包维护（10天左右）</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100厘米高</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牛津布</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米</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彩色旗帜双喷布条幅、竖幅：包装包拆包维护（10天左右）</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70厘米高</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旗帜布</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米</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彩色旗帜双喷布条幅、竖幅：包装包拆包维护（10天左右）</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100厘米高</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旗帜布</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米</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丝印彩旗校旗</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1号</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银雕布</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面</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丝印彩旗校旗</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2号</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银雕布</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面</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丝印彩旗校旗</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3号</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银雕布</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面</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丝印彩旗校旗</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4号</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银雕布</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面</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不锈钢伸缩旗杆</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2.5米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不锈钢伸缩旗杆</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丝印彩旗：钢钎打孔安装维护（15天左右）</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80*120厘米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银雕布</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3米不锈钢安装旗杆</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25圆管</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运动员丝印号码牌：A4,按顺序每个数字一个</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银雕布</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气飘:氦气8米（4天左右）</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牛津布</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充气拱门（1周左右）</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12米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灯杆宣传标语制作安装更换（不包含架子）:每块80*180，一根灯杆4块，维护一年</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80*180*4块</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高空安装550高精喷绘</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灯杆宣传标语制作安装更换（不包含架子）:每块80*180，一根灯杆4块，维护一年</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80*180*4块</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高空安装黑底布高精喷绘</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节日灯笼</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2米直径</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单个：高空安装</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节日灯笼</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4个一串：高空安装</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串</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活动用钢结构门头造型设计制作</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桁架大展板：4*10米（一个月左右）使用期内维护</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4*10米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 xml:space="preserve"> 立体结构支撑</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次</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桁架大展板：4.5*15米（一个月左右）使用期内维护</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4.5*15米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 xml:space="preserve"> 立体结构支撑</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次</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桁架成果展示板：2.5*30米（30-60天）：分块展板设计</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2.5*30米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550户外写真机高精喷绘穿绳打扣包维护</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次</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桁架搭建：2.5*5米（10天左右） 使用期内维护</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2.5*5米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立体结构支撑</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次</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桁架搭建：3*5米（10天左右）   使用期内维护</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3*5米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立体结构支撑</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次</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桁架隔断黑白布高精喷绘</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1米高</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桁架隔断黑白布高精喷绘</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超过米高</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淋膜板户外车贴隔断</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永弘户外车贴</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淋膜板双面户外车贴隔断</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双面永弘户外车贴</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赛点桁架4*8米（10天左右）使用期内维护</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立体结构</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次</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室内赛场背景板（亚光材质）</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广告淋膜板</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酒店桁架搭建：3*4米（10天左右）晚上10点半以后</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3*4米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立体结构支撑</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次</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w:t>
            </w:r>
          </w:p>
        </w:tc>
        <w:tc>
          <w:tcPr>
            <w:tcW w:w="155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桁架用画布：黑底布户外高精度喷绘</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4*10米</w:t>
            </w:r>
          </w:p>
        </w:tc>
        <w:tc>
          <w:tcPr>
            <w:tcW w:w="156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5米机器喷绘穿绳打扣不拼接包维护</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灯柱上宣传标语制作安装（含架子）</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175X80厘米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175X80厘米3mm 厚U型槽铝条框，25镀锌方管支架，抱箍 3mm钢板 激光切割，80*180520不透光黑底布、高精喷绘</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宣传展板（铝合金落地架）</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120*240</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永弘户外车贴5毫米PVC板</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A字板</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1*2米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双面黑底画面</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4厘米铝合金框制度牌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60*90</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广告淋膜板车贴画面</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4厘米铝合金框制度牌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120*240</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广告淋膜板车贴画面</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铝制固定宣传栏</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3.16*2.5米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2.0厚铝材，阳光板雨棚，耐力板，1.2镀锌板，铝塑板板眉，液压开启</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彩色烤漆铝制宣传栏（含正反面宣传画）</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260*300</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彩色烤漆铝制宣传栏</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宣传栏更换：设计安装维护</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1．2*2.4米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永弘户外高精车贴</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张</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宣传栏阳光板雨棚更换</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3.2*1.2米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6mmPC阳光板</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宣传栏楣板更换</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1.2*2.4米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铝合金框架，铝塑板</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不锈钢宣传栏</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3.16*2.5米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1.2厚304不锈钢，阳光板雨棚，大芯板，钢化玻璃</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可移动式铝制宣传栏</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120x240cm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铝型材+PVC 写真画+玻璃</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台座铭牌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20x10cm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3mm 亚克力+UV 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台座铭牌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30x40cm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3mm 亚克力+UV 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楼层牌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φ 30</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5mm 透明亚克力+UV 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楼层牌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φ 40</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5mm 透明亚克力+UV 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室内党建宣传</w:t>
            </w:r>
          </w:p>
        </w:tc>
        <w:tc>
          <w:tcPr>
            <w:tcW w:w="2191"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2.0PVC板亚克力立体字，设计安装</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室内党建宣传</w:t>
            </w:r>
          </w:p>
        </w:tc>
        <w:tc>
          <w:tcPr>
            <w:tcW w:w="2191"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2.0PVC UV打印，设计安装</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室内党建宣传</w:t>
            </w:r>
          </w:p>
        </w:tc>
        <w:tc>
          <w:tcPr>
            <w:tcW w:w="2191"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2.0PVC板UV打印，过水晶片，设计安装</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文化墙宣传</w:t>
            </w:r>
          </w:p>
        </w:tc>
        <w:tc>
          <w:tcPr>
            <w:tcW w:w="2191"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2.0PVC板亚克力立体字，设计安装</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文化墙宣传</w:t>
            </w:r>
          </w:p>
        </w:tc>
        <w:tc>
          <w:tcPr>
            <w:tcW w:w="2191"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2.0PVC UV打印，设计安装</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文化墙宣传</w:t>
            </w:r>
          </w:p>
        </w:tc>
        <w:tc>
          <w:tcPr>
            <w:tcW w:w="2191"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2.0PVC板UV打印，过水晶片，设计安装</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楼层指示牌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60x120cm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5mm 亚克力 UV 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软膜天花更换</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240x120cm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进口 3mm 软膜+UV 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雕刻模板</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双色板+切割</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无需安装</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水晶字制作安装</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现场尺寸</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8毫米水晶板，3毫米亚克力面板雕刻切割</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PVC亚克力字</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现场尺寸</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2厘米PVC板，3毫米亚克力面板雕刻切割</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共挤 PVC 立体字</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2cm 共挤板（颜色可选）+线切割成型</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简易安装</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精工字</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1.2mm 不锈钢（可烤漆）+激光机无缝焊接</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100x100x8cm 厚，高空安装</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球面钛金字</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0.8mm 钛金板+人工击打成半球面+锡焊接</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高空安装</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树脂发光字</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1.2mm 不锈钢（烤漆）+ 进口树脂料+软型 LED灯条+电源</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简易安装</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迷你发光字</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进口亚克力 5mm+软型 LED 灯条+电源</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50x50cmx2.5cm厚，简易安装</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户外外露穿孔发光字</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1.2mm 不锈钢（烤漆）+面板冲孔+外露点光源</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高空安装</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草坪指示标牌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花草牌，警示牌，温馨提示牌</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不锈钢板+成型焊接+户外高精打印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21"/>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立式户外宣传栏</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240x120cm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1.5mm 镀锌钢板（或不锈钢）+120 方管焊接成型+户外高精车贴打印+立体点缀+防雨棚</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21"/>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大型外喷绘宣传牌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1000x200cm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镀锌钢结构龙骨+镀锌板封底+高精喷绘+不锈钢包边</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21"/>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外墙及栏栅标语字</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80x80cm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1.5mm 不锈钢（或烤漆）折弯成型+共挤板立体字（不锈钢精工字）</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21"/>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围墙及栏栅宣传栏</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240x120cm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∮25mm 镀锌钢管壁厚 4mm+5mm 铝塑板封底+户外高精写真+不锈钢包边</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21"/>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垂直升缩型海报展架</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60+80cm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镀锌钢支架+PVC 板写真画</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垂直升缩型海报展架</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60x120cm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镀锌钢支架+PVC 板写真画</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户外人字形停车指示牌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40+60cm 双面</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不锈钢板管线型+印字</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 米栏（隔离柱）</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100x100cm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不锈钢管+升缩条</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2米栏（隔离柱）</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不锈钢腐蚀牌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35x240cm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1.2mm 不锈钢板+腐蚀用化学品+汽车烤漆</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超亮卡布灯箱</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100x150cm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铝型材边框+高精度软膜天花+LED 灯条+电源</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铁艺灯箱</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60x80cm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1.5mm 镀锌板镂空+3mm 亚克力色片+LED 防水贴片灯+电源</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霓虹灯</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120x60cm</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柔性 LED 霓虹灯条成型+3mm 亚克力板</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超簿灯箱</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100x150x3cm 厚</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开启式铝型材+LED 灯+电源+灯片画</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电子灯箱</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60x40x5cm 厚</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 xml:space="preserve">型材+铝塑板穿孔+点光源+电源  </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节日用精神堡垒理念牌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任意尺寸</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1.5mm 不锈钢板（镀锌钢板）+激光切割+精工焊接成型+立体字（户外写真）饰面</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活动线阵全频音响租赁（搭建+彩排+活动时间3天以上）</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双十二寸</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声扬高音质线阵音响</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活动线阵全频音响租赁（时间3天以上）</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双十寸</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声扬高音质线阵音响</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活动线阵超低音响租赁（时间3天以上）</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双十八寸</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声扬高音质线阵音响</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活动线阵全频功放租赁</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2250w</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专业线阵功放</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台</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活动线阵超低功放租赁</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2250w</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专业线阵超低功放</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台</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音频处理器租赁</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1600w</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两进六出</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活动演出音响租赁（时间3天以上）</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双十五寸</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声扬演出音响</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活动演出音响租赁（时间3天以上）</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单十寸</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声扬或者JBL音响</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双十五音响功放租赁</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1500w</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专业音响功放</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台</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话筒租赁</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无线手持话筒</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带话筒接收器+信号放大器</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会议话筒租赁</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有线会议话筒</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带30米以上公母信号线</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电容麦租赁</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专业收音电容麦</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领导发言电容麦+双位底座</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线阵调音台租赁</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32路数字调音台</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活动调音台+维护</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模拟调音台租赁（时间3天以上）</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音响8路或16路模拟调音台</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在学校图书馆举办活动仅租用音响调音台+维护</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舞台加绒加厚地毯</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任意尺寸</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红色/灰色/蓝色/白色等，根据活动要求选择</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电子喷花机租赁（时间3天以上）</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1500w</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活动使用不限次数，并及时补用燃料</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台</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活动LED电子屏租赁（时间3天以上）</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P4户外电子屏</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高清电子屏+搭建+拆卸+现场维护</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活动LED电子屏租赁（时间3天以上）</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P3高清户外电子屏</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高清电子屏+搭建+拆卸+现场维护</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活动LED电子屏租赁（时间3天以上）</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P2高清户外电子屏</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高清电子屏+搭建+拆卸+现场维护</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平方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视频处理器</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凯视达</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视频分屏5个或7个画面，单独租赁在学校活动中</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活动投屏系统</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default"/>
                <w:sz w:val="21"/>
                <w:szCs w:val="21"/>
                <w:lang w:val="en-US" w:eastAsia="zh-CN" w:bidi="ar"/>
              </w:rPr>
            </w:pPr>
            <w:r>
              <w:rPr>
                <w:rStyle w:val="21"/>
                <w:rFonts w:hint="eastAsia"/>
                <w:sz w:val="21"/>
                <w:szCs w:val="21"/>
                <w:lang w:val="en-US" w:eastAsia="zh-CN" w:bidi="ar"/>
              </w:rPr>
              <w:t>无缝投屏</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会议/活动无线投屏到现场电子屏</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电脑光束灯租赁（时间3天以上）</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650w</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650w超亮纯光束灯</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盏</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电脑光束灯租赁（时间3天以上）</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330w</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330w三合一电脑光束灯</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盏</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活动面光灯租赁（时间3天以上）</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4w54珠</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暖白光面光灯</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盏</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灯光架租赁</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灯光配套</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铁艺</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活动面光灯租赁</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108珠</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暖黄光面光灯</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盏</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全彩染色灯租赁（时间3天以上）</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4w</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染色氛围灯</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盏</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电脑切割灯（时间3天以上）</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1500w</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四合一电脑切割灯</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盏</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频闪灯（时间3天以上）</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200w</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活动氛围频闪灯</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盏</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干冰机</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1500w</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活动氛围使用，不限次数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台</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电子签到背景</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5x3米</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电子屏签约+电子平板签到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讲台花</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鲜花花艺</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讲台挂式鲜花</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束</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233</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追光灯租赁</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2500w</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大功率追光灯+技术人员</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234</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无缝切换器</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default"/>
                <w:sz w:val="21"/>
                <w:szCs w:val="21"/>
                <w:lang w:val="en-US" w:eastAsia="zh-CN" w:bidi="ar"/>
              </w:rPr>
            </w:pPr>
            <w:r>
              <w:rPr>
                <w:rStyle w:val="21"/>
                <w:rFonts w:hint="eastAsia"/>
                <w:sz w:val="21"/>
                <w:szCs w:val="21"/>
                <w:lang w:val="en-US" w:eastAsia="zh-CN" w:bidi="ar"/>
              </w:rPr>
              <w:t>无缝切换</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电子屏无缝切换+光纤</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235</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红色皮质文件夹</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A3</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皮质加厚面料</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本</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236</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手掌能量柱租赁</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发光启动能量柱</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237</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签约台租赁</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电子签约台</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签约台+平板电脑+实时投屏系统</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238</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启动台租赁</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推杆流沙台</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活动启动时推杆提现主题</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启动视频制作</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1920x1080</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活动启动视频制作</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个</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240</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活动背景制作（20页以上）</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根据场地背景尺寸做</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活动背景及流程背景、领导嘉宾发言背景等</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项</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沙发租赁</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白色</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领导席沙发租赁</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8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w:t>
            </w:r>
          </w:p>
        </w:tc>
        <w:tc>
          <w:tcPr>
            <w:tcW w:w="15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茶几租赁</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白色</w:t>
            </w:r>
          </w:p>
        </w:tc>
        <w:tc>
          <w:tcPr>
            <w:tcW w:w="15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领导席茶几租赁</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Style w:val="21"/>
                <w:rFonts w:hint="eastAsia"/>
                <w:sz w:val="21"/>
                <w:szCs w:val="21"/>
                <w:lang w:val="en-US" w:eastAsia="zh-CN" w:bidi="ar"/>
              </w:rPr>
            </w:pPr>
            <w:r>
              <w:rPr>
                <w:rStyle w:val="21"/>
                <w:rFonts w:hint="eastAsia"/>
                <w:sz w:val="21"/>
                <w:szCs w:val="21"/>
                <w:lang w:val="en-US" w:eastAsia="zh-CN" w:bidi="ar"/>
              </w:rPr>
              <w:t>套</w:t>
            </w:r>
          </w:p>
        </w:tc>
        <w:tc>
          <w:tcPr>
            <w:tcW w:w="4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2564" w:type="pct"/>
            <w:gridSpan w:val="3"/>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Style w:val="82"/>
                <w:lang w:val="en-US" w:eastAsia="zh-CN" w:bidi="ar"/>
              </w:rPr>
              <w:t>报价合计（所有项目单价之和）</w:t>
            </w:r>
          </w:p>
        </w:tc>
        <w:tc>
          <w:tcPr>
            <w:tcW w:w="2435" w:type="pct"/>
            <w:gridSpan w:val="3"/>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r>
    </w:tbl>
    <w:p>
      <w:pPr>
        <w:widowControl/>
        <w:spacing w:line="380" w:lineRule="exact"/>
        <w:jc w:val="left"/>
        <w:rPr>
          <w:rFonts w:hint="eastAsia" w:ascii="宋体" w:hAnsi="宋体" w:cs="宋体"/>
          <w:color w:val="000000"/>
          <w:sz w:val="24"/>
          <w:lang w:val="en-US" w:eastAsia="zh-CN"/>
        </w:rPr>
      </w:pPr>
      <w:r>
        <w:rPr>
          <w:rFonts w:hint="eastAsia" w:ascii="宋体" w:hAnsi="宋体" w:cs="宋体"/>
          <w:color w:val="000000"/>
          <w:sz w:val="24"/>
          <w:lang w:val="en-US" w:eastAsia="zh-CN"/>
        </w:rPr>
        <w:t xml:space="preserve">  </w:t>
      </w:r>
    </w:p>
    <w:p>
      <w:pPr>
        <w:widowControl/>
        <w:spacing w:line="380" w:lineRule="exact"/>
        <w:jc w:val="left"/>
        <w:rPr>
          <w:rFonts w:hint="eastAsia" w:ascii="宋体" w:hAnsi="宋体" w:cs="宋体"/>
          <w:color w:val="000000"/>
          <w:sz w:val="24"/>
          <w:lang w:val="en-US" w:eastAsia="zh-CN"/>
        </w:rPr>
      </w:pPr>
    </w:p>
    <w:p>
      <w:pPr>
        <w:widowControl/>
        <w:spacing w:line="380" w:lineRule="exact"/>
        <w:jc w:val="left"/>
        <w:rPr>
          <w:rFonts w:hint="default" w:ascii="宋体" w:hAnsi="宋体" w:cs="宋体"/>
          <w:color w:val="000000"/>
          <w:sz w:val="24"/>
          <w:lang w:val="en-US" w:eastAsia="zh-CN"/>
        </w:rPr>
      </w:pPr>
    </w:p>
    <w:p>
      <w:pPr>
        <w:widowControl/>
        <w:spacing w:line="380" w:lineRule="exact"/>
        <w:jc w:val="left"/>
        <w:rPr>
          <w:rFonts w:ascii="宋体" w:hAnsi="宋体" w:cs="宋体"/>
          <w:color w:val="000000"/>
          <w:sz w:val="24"/>
        </w:rPr>
      </w:pPr>
    </w:p>
    <w:p>
      <w:pPr>
        <w:widowControl/>
        <w:spacing w:line="380" w:lineRule="exact"/>
        <w:jc w:val="left"/>
        <w:rPr>
          <w:rFonts w:ascii="宋体" w:hAnsi="宋体" w:cs="宋体"/>
          <w:color w:val="000000"/>
          <w:sz w:val="24"/>
        </w:rPr>
      </w:pPr>
    </w:p>
    <w:p>
      <w:pPr>
        <w:widowControl/>
        <w:spacing w:line="380" w:lineRule="exact"/>
        <w:jc w:val="left"/>
        <w:rPr>
          <w:rFonts w:ascii="宋体" w:hAnsi="宋体" w:cs="宋体"/>
          <w:color w:val="000000"/>
          <w:sz w:val="24"/>
        </w:rPr>
      </w:pPr>
    </w:p>
    <w:p>
      <w:pPr>
        <w:widowControl/>
        <w:spacing w:line="380" w:lineRule="exact"/>
        <w:jc w:val="left"/>
        <w:rPr>
          <w:rFonts w:ascii="宋体" w:hAnsi="宋体" w:cs="宋体"/>
          <w:color w:val="000000"/>
          <w:sz w:val="24"/>
        </w:rPr>
      </w:pPr>
    </w:p>
    <w:p>
      <w:pPr>
        <w:widowControl/>
        <w:spacing w:line="380" w:lineRule="exact"/>
        <w:jc w:val="left"/>
        <w:rPr>
          <w:rFonts w:ascii="宋体" w:hAnsi="宋体" w:cs="宋体"/>
          <w:color w:val="000000"/>
          <w:sz w:val="24"/>
        </w:rPr>
      </w:pPr>
    </w:p>
    <w:p>
      <w:pPr>
        <w:widowControl/>
        <w:spacing w:line="480" w:lineRule="auto"/>
        <w:jc w:val="left"/>
        <w:rPr>
          <w:rFonts w:ascii="宋体" w:hAnsi="宋体" w:cs="宋体"/>
          <w:color w:val="000000"/>
          <w:sz w:val="24"/>
        </w:rPr>
      </w:pPr>
      <w:r>
        <w:rPr>
          <w:rFonts w:hint="eastAsia" w:ascii="宋体" w:hAnsi="宋体" w:cs="宋体"/>
          <w:color w:val="000000"/>
          <w:sz w:val="24"/>
        </w:rPr>
        <w:t>投标人（盖单位公章）：</w:t>
      </w:r>
    </w:p>
    <w:p>
      <w:pPr>
        <w:adjustRightInd w:val="0"/>
        <w:snapToGrid w:val="0"/>
        <w:spacing w:line="480" w:lineRule="auto"/>
        <w:ind w:right="23" w:rightChars="11"/>
        <w:rPr>
          <w:rFonts w:ascii="宋体" w:hAnsi="宋体" w:cs="宋体"/>
          <w:color w:val="000000"/>
          <w:sz w:val="24"/>
          <w:u w:val="single"/>
        </w:rPr>
      </w:pPr>
      <w:r>
        <w:rPr>
          <w:rFonts w:hint="eastAsia" w:ascii="宋体" w:hAnsi="宋体" w:cs="宋体"/>
          <w:color w:val="000000"/>
          <w:sz w:val="24"/>
        </w:rPr>
        <w:t>法定代表人或其委托代理人签字：</w:t>
      </w:r>
      <w:r>
        <w:rPr>
          <w:rFonts w:hint="eastAsia" w:ascii="宋体" w:hAnsi="宋体" w:cs="宋体"/>
          <w:color w:val="000000"/>
          <w:sz w:val="24"/>
          <w:u w:val="single"/>
        </w:rPr>
        <w:t xml:space="preserve">            </w:t>
      </w:r>
    </w:p>
    <w:p>
      <w:pPr>
        <w:adjustRightInd w:val="0"/>
        <w:snapToGrid w:val="0"/>
        <w:spacing w:line="480" w:lineRule="auto"/>
        <w:ind w:right="23" w:rightChars="11"/>
        <w:rPr>
          <w:rFonts w:ascii="宋体" w:hAnsi="宋体" w:cs="宋体"/>
          <w:bCs/>
          <w:color w:val="000000"/>
          <w:sz w:val="24"/>
        </w:rPr>
      </w:pPr>
      <w:bookmarkStart w:id="8" w:name="_Hlk160817732"/>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bookmarkEnd w:id="8"/>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r>
        <w:rPr>
          <w:rFonts w:hint="eastAsia" w:ascii="黑体" w:hAnsi="黑体" w:eastAsia="黑体" w:cs="黑体"/>
          <w:b/>
          <w:color w:val="000000"/>
          <w:sz w:val="24"/>
        </w:rPr>
        <w:t>附件5</w:t>
      </w:r>
    </w:p>
    <w:p>
      <w:pPr>
        <w:adjustRightInd w:val="0"/>
        <w:snapToGrid w:val="0"/>
        <w:spacing w:before="156" w:beforeLines="50" w:line="360" w:lineRule="auto"/>
        <w:jc w:val="center"/>
        <w:rPr>
          <w:rFonts w:ascii="微软雅黑" w:hAnsi="微软雅黑" w:eastAsia="微软雅黑" w:cs="微软雅黑"/>
          <w:color w:val="000000"/>
          <w:sz w:val="28"/>
          <w:szCs w:val="28"/>
        </w:rPr>
      </w:pPr>
      <w:r>
        <w:rPr>
          <w:rFonts w:hint="eastAsia" w:ascii="微软雅黑" w:hAnsi="微软雅黑" w:eastAsia="微软雅黑" w:cs="微软雅黑"/>
          <w:b/>
          <w:color w:val="000000"/>
          <w:sz w:val="28"/>
          <w:szCs w:val="28"/>
        </w:rPr>
        <w:t>服务方案</w:t>
      </w:r>
    </w:p>
    <w:p>
      <w:pPr>
        <w:adjustRightInd w:val="0"/>
        <w:snapToGrid w:val="0"/>
        <w:jc w:val="center"/>
        <w:rPr>
          <w:rFonts w:ascii="宋体" w:hAnsi="宋体" w:cs="宋体"/>
          <w:b/>
          <w:sz w:val="30"/>
          <w:szCs w:val="30"/>
        </w:rPr>
      </w:pPr>
      <w:r>
        <w:rPr>
          <w:rFonts w:hint="eastAsia" w:ascii="宋体" w:hAnsi="宋体" w:cs="宋体"/>
          <w:b/>
          <w:sz w:val="30"/>
          <w:szCs w:val="30"/>
        </w:rPr>
        <w:t>服务方案说明</w:t>
      </w:r>
    </w:p>
    <w:p>
      <w:pPr>
        <w:adjustRightInd w:val="0"/>
        <w:snapToGrid w:val="0"/>
        <w:rPr>
          <w:rFonts w:ascii="宋体" w:hAnsi="宋体" w:cs="宋体"/>
          <w:szCs w:val="21"/>
        </w:rPr>
      </w:pPr>
    </w:p>
    <w:tbl>
      <w:tblPr>
        <w:tblStyle w:val="13"/>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49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42" w:hRule="atLeast"/>
          <w:jc w:val="center"/>
        </w:trPr>
        <w:tc>
          <w:tcPr>
            <w:tcW w:w="8494" w:type="dxa"/>
          </w:tcPr>
          <w:p>
            <w:pPr>
              <w:spacing w:line="520" w:lineRule="exact"/>
              <w:ind w:firstLine="481"/>
              <w:jc w:val="center"/>
              <w:rPr>
                <w:rFonts w:ascii="宋体" w:hAnsi="宋体" w:cs="宋体"/>
                <w:szCs w:val="21"/>
              </w:rPr>
            </w:pPr>
            <w:r>
              <w:rPr>
                <w:rFonts w:hint="eastAsia" w:ascii="宋体" w:hAnsi="宋体" w:cs="宋体"/>
                <w:szCs w:val="21"/>
              </w:rPr>
              <w:t>格式自拟。</w:t>
            </w:r>
          </w:p>
          <w:p>
            <w:pPr>
              <w:spacing w:line="520" w:lineRule="exact"/>
              <w:ind w:firstLine="480"/>
              <w:rPr>
                <w:rFonts w:ascii="宋体" w:hAnsi="宋体" w:cs="宋体"/>
                <w:szCs w:val="21"/>
              </w:rPr>
            </w:pPr>
          </w:p>
        </w:tc>
      </w:tr>
    </w:tbl>
    <w:p>
      <w:pPr>
        <w:adjustRightInd w:val="0"/>
        <w:snapToGrid w:val="0"/>
        <w:spacing w:line="360" w:lineRule="auto"/>
        <w:rPr>
          <w:rFonts w:ascii="宋体" w:hAnsi="宋体"/>
          <w:bCs/>
          <w:color w:val="000000"/>
          <w:szCs w:val="21"/>
        </w:rPr>
      </w:pPr>
      <w:r>
        <w:rPr>
          <w:rFonts w:hint="eastAsia" w:ascii="宋体" w:hAnsi="宋体"/>
          <w:szCs w:val="21"/>
        </w:rPr>
        <w:t>各投标人根据采购人的需求和项目具体内容并结合评分要求及自身情况制定服务方案。</w:t>
      </w:r>
      <w:r>
        <w:rPr>
          <w:rFonts w:hint="eastAsia" w:ascii="宋体" w:hAnsi="宋体"/>
          <w:color w:val="000000"/>
          <w:szCs w:val="21"/>
        </w:rPr>
        <w:t xml:space="preserve">                     </w:t>
      </w: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adjustRightInd w:val="0"/>
        <w:snapToGrid w:val="0"/>
        <w:spacing w:line="360" w:lineRule="auto"/>
        <w:ind w:right="23" w:rightChars="11"/>
        <w:rPr>
          <w:rFonts w:ascii="宋体" w:hAnsi="宋体" w:cs="宋体"/>
          <w:color w:val="000000"/>
        </w:rPr>
      </w:pPr>
    </w:p>
    <w:p>
      <w:pPr>
        <w:adjustRightInd w:val="0"/>
        <w:snapToGrid w:val="0"/>
        <w:spacing w:line="360" w:lineRule="auto"/>
        <w:ind w:right="23" w:rightChars="11" w:firstLine="480" w:firstLineChars="200"/>
        <w:rPr>
          <w:rFonts w:ascii="宋体" w:hAnsi="宋体" w:cs="宋体"/>
          <w:color w:val="000000"/>
          <w:sz w:val="24"/>
        </w:rPr>
      </w:pPr>
      <w:r>
        <w:rPr>
          <w:rFonts w:hint="eastAsia" w:ascii="宋体" w:hAnsi="宋体" w:cs="宋体"/>
          <w:color w:val="000000"/>
          <w:sz w:val="24"/>
        </w:rPr>
        <w:t>投标人（盖单位公章）：</w:t>
      </w:r>
    </w:p>
    <w:p>
      <w:pPr>
        <w:adjustRightInd w:val="0"/>
        <w:snapToGrid w:val="0"/>
        <w:spacing w:line="360" w:lineRule="auto"/>
        <w:ind w:right="23" w:rightChars="11" w:firstLine="480" w:firstLineChars="200"/>
        <w:rPr>
          <w:rFonts w:ascii="宋体" w:hAnsi="宋体" w:cs="宋体"/>
          <w:color w:val="000000"/>
          <w:sz w:val="24"/>
        </w:rPr>
      </w:pPr>
      <w:r>
        <w:rPr>
          <w:rFonts w:hint="eastAsia" w:ascii="宋体" w:hAnsi="宋体" w:cs="宋体"/>
          <w:color w:val="000000"/>
          <w:sz w:val="24"/>
        </w:rPr>
        <w:t>法定代表人或其委托代理人签字：</w:t>
      </w:r>
      <w:r>
        <w:rPr>
          <w:rFonts w:hint="eastAsia" w:ascii="宋体" w:hAnsi="宋体" w:cs="宋体"/>
          <w:color w:val="000000"/>
          <w:sz w:val="24"/>
          <w:u w:val="single"/>
        </w:rPr>
        <w:t xml:space="preserve">            </w:t>
      </w:r>
    </w:p>
    <w:p>
      <w:pPr>
        <w:adjustRightInd w:val="0"/>
        <w:snapToGrid w:val="0"/>
        <w:spacing w:line="360" w:lineRule="auto"/>
        <w:ind w:right="23" w:rightChars="11" w:firstLine="480" w:firstLineChars="200"/>
        <w:rPr>
          <w:rFonts w:ascii="宋体" w:hAnsi="宋体" w:cs="宋体"/>
          <w:bCs/>
          <w:color w:val="000000"/>
          <w:sz w:val="24"/>
        </w:rPr>
      </w:pPr>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pStyle w:val="12"/>
        <w:tabs>
          <w:tab w:val="left" w:pos="3420"/>
        </w:tabs>
        <w:rPr>
          <w:rFonts w:ascii="宋体" w:hAnsi="宋体"/>
          <w:bCs/>
          <w:szCs w:val="21"/>
        </w:rPr>
      </w:pPr>
    </w:p>
    <w:p>
      <w:pPr>
        <w:rPr>
          <w:rFonts w:ascii="宋体" w:hAnsi="宋体"/>
          <w:bCs/>
          <w:color w:val="000000"/>
          <w:szCs w:val="21"/>
        </w:rPr>
      </w:pPr>
    </w:p>
    <w:p>
      <w:pPr>
        <w:pStyle w:val="4"/>
        <w:rPr>
          <w:rFonts w:ascii="宋体" w:hAnsi="宋体"/>
          <w:bCs/>
          <w:color w:val="000000"/>
          <w:szCs w:val="21"/>
        </w:rPr>
      </w:pPr>
    </w:p>
    <w:p>
      <w:pPr>
        <w:pStyle w:val="4"/>
        <w:rPr>
          <w:rFonts w:ascii="宋体" w:hAnsi="宋体"/>
          <w:bCs/>
          <w:color w:val="000000"/>
          <w:szCs w:val="21"/>
        </w:rPr>
      </w:pPr>
    </w:p>
    <w:p>
      <w:pPr>
        <w:pStyle w:val="3"/>
        <w:ind w:firstLine="480"/>
        <w:rPr>
          <w:rFonts w:ascii="宋体" w:hAnsi="宋体"/>
          <w:bCs/>
          <w:color w:val="000000"/>
          <w:szCs w:val="21"/>
        </w:rPr>
      </w:pPr>
    </w:p>
    <w:p>
      <w:pPr>
        <w:pStyle w:val="4"/>
      </w:pPr>
    </w:p>
    <w:p>
      <w:pPr>
        <w:pStyle w:val="4"/>
        <w:rPr>
          <w:rFonts w:ascii="宋体" w:hAnsi="宋体"/>
          <w:bCs/>
          <w:color w:val="000000"/>
          <w:szCs w:val="21"/>
        </w:rPr>
      </w:pPr>
    </w:p>
    <w:p>
      <w:pPr>
        <w:pStyle w:val="4"/>
        <w:rPr>
          <w:rFonts w:ascii="宋体" w:hAnsi="宋体"/>
          <w:bCs/>
          <w:color w:val="000000"/>
          <w:szCs w:val="21"/>
        </w:rPr>
      </w:pPr>
    </w:p>
    <w:p>
      <w:pPr>
        <w:pStyle w:val="4"/>
        <w:rPr>
          <w:rFonts w:ascii="宋体" w:hAnsi="宋体"/>
          <w:bCs/>
          <w:color w:val="000000"/>
          <w:szCs w:val="21"/>
        </w:rPr>
      </w:pPr>
    </w:p>
    <w:p>
      <w:pPr>
        <w:pStyle w:val="4"/>
        <w:rPr>
          <w:rFonts w:ascii="宋体" w:hAnsi="宋体"/>
          <w:bCs/>
          <w:color w:val="000000"/>
          <w:szCs w:val="21"/>
        </w:rPr>
      </w:pPr>
    </w:p>
    <w:p>
      <w:pPr>
        <w:adjustRightInd w:val="0"/>
        <w:snapToGrid w:val="0"/>
        <w:spacing w:line="360" w:lineRule="auto"/>
        <w:rPr>
          <w:rFonts w:ascii="宋体" w:hAnsi="宋体" w:cs="宋体"/>
          <w:b/>
          <w:bCs/>
          <w:sz w:val="28"/>
          <w:szCs w:val="28"/>
        </w:rPr>
      </w:pPr>
      <w:r>
        <w:rPr>
          <w:rFonts w:hint="eastAsia" w:ascii="黑体" w:hAnsi="黑体" w:eastAsia="黑体" w:cs="黑体"/>
          <w:b/>
          <w:color w:val="000000"/>
          <w:sz w:val="24"/>
        </w:rPr>
        <w:t>附件6 比选投标单位基本情况</w:t>
      </w:r>
    </w:p>
    <w:tbl>
      <w:tblPr>
        <w:tblStyle w:val="13"/>
        <w:tblW w:w="0" w:type="auto"/>
        <w:tblInd w:w="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6" w:hRule="atLeast"/>
        </w:trPr>
        <w:tc>
          <w:tcPr>
            <w:tcW w:w="9137" w:type="dxa"/>
          </w:tcPr>
          <w:p>
            <w:pPr>
              <w:spacing w:line="360" w:lineRule="auto"/>
              <w:ind w:firstLine="640" w:firstLineChars="200"/>
              <w:rPr>
                <w:rFonts w:ascii="仿宋_GB2312" w:eastAsia="仿宋_GB2312"/>
                <w:sz w:val="32"/>
                <w:szCs w:val="32"/>
              </w:rPr>
            </w:pPr>
          </w:p>
        </w:tc>
      </w:tr>
    </w:tbl>
    <w:p>
      <w:pPr>
        <w:spacing w:line="360" w:lineRule="auto"/>
        <w:ind w:firstLine="640" w:firstLineChars="200"/>
        <w:rPr>
          <w:rFonts w:ascii="仿宋_GB2312" w:eastAsia="仿宋_GB2312"/>
          <w:sz w:val="32"/>
          <w:szCs w:val="32"/>
        </w:rPr>
      </w:pPr>
    </w:p>
    <w:p>
      <w:pPr>
        <w:spacing w:line="360" w:lineRule="auto"/>
        <w:ind w:firstLine="480" w:firstLineChars="200"/>
        <w:rPr>
          <w:rFonts w:ascii="宋体" w:hAnsi="宋体" w:cs="宋体"/>
          <w:sz w:val="24"/>
        </w:rPr>
      </w:pPr>
      <w:r>
        <w:rPr>
          <w:rFonts w:hint="eastAsia" w:ascii="宋体" w:hAnsi="宋体" w:cs="宋体"/>
          <w:sz w:val="24"/>
        </w:rPr>
        <w:t>比选投标单位法定代表人或被授权人（签字）：</w:t>
      </w:r>
    </w:p>
    <w:p>
      <w:pPr>
        <w:spacing w:line="360" w:lineRule="auto"/>
        <w:ind w:firstLine="480" w:firstLineChars="200"/>
        <w:rPr>
          <w:rFonts w:ascii="宋体" w:hAnsi="宋体" w:cs="宋体"/>
          <w:sz w:val="24"/>
        </w:rPr>
      </w:pPr>
    </w:p>
    <w:p>
      <w:pPr>
        <w:spacing w:line="360" w:lineRule="auto"/>
        <w:ind w:firstLine="480" w:firstLineChars="200"/>
        <w:rPr>
          <w:rFonts w:ascii="宋体" w:hAnsi="宋体" w:cs="宋体"/>
          <w:sz w:val="24"/>
        </w:rPr>
      </w:pPr>
      <w:r>
        <w:rPr>
          <w:rFonts w:hint="eastAsia" w:ascii="宋体" w:hAnsi="宋体" w:cs="宋体"/>
          <w:sz w:val="24"/>
        </w:rPr>
        <w:t>比选投标单位（盖章）：</w:t>
      </w:r>
    </w:p>
    <w:p>
      <w:pPr>
        <w:spacing w:line="360" w:lineRule="auto"/>
        <w:ind w:firstLine="480" w:firstLineChars="200"/>
        <w:rPr>
          <w:rFonts w:ascii="宋体" w:hAnsi="宋体" w:cs="宋体"/>
          <w:sz w:val="24"/>
        </w:rPr>
      </w:pPr>
      <w:r>
        <w:rPr>
          <w:rFonts w:hint="eastAsia" w:ascii="宋体" w:hAnsi="宋体" w:cs="宋体"/>
          <w:sz w:val="24"/>
        </w:rPr>
        <w:t xml:space="preserve">                                      年    月    日</w:t>
      </w:r>
    </w:p>
    <w:p>
      <w:pPr>
        <w:spacing w:line="360" w:lineRule="auto"/>
        <w:ind w:firstLine="480" w:firstLineChars="200"/>
        <w:rPr>
          <w:rFonts w:ascii="仿宋_GB2312" w:eastAsia="仿宋_GB2312"/>
          <w:sz w:val="24"/>
        </w:rPr>
      </w:pPr>
    </w:p>
    <w:p>
      <w:pPr>
        <w:pStyle w:val="4"/>
        <w:rPr>
          <w:rFonts w:hAnsi="黑体" w:cs="黑体"/>
          <w:b/>
          <w:color w:val="000000"/>
          <w:sz w:val="24"/>
        </w:rPr>
      </w:pPr>
    </w:p>
    <w:p>
      <w:pPr>
        <w:pStyle w:val="4"/>
        <w:rPr>
          <w:rFonts w:hAnsi="黑体" w:cs="黑体"/>
          <w:b/>
          <w:color w:val="000000"/>
          <w:sz w:val="24"/>
        </w:rPr>
      </w:pPr>
    </w:p>
    <w:p>
      <w:pPr>
        <w:pStyle w:val="4"/>
        <w:rPr>
          <w:rFonts w:hAnsi="黑体" w:cs="黑体"/>
          <w:b/>
          <w:color w:val="000000"/>
          <w:sz w:val="24"/>
        </w:rPr>
      </w:pPr>
    </w:p>
    <w:p/>
    <w:p/>
    <w:p>
      <w:pPr>
        <w:spacing w:line="500" w:lineRule="exact"/>
        <w:ind w:firstLine="482" w:firstLineChars="200"/>
        <w:rPr>
          <w:rFonts w:ascii="宋体" w:hAnsi="宋体" w:cs="宋体"/>
          <w:sz w:val="24"/>
        </w:rPr>
      </w:pPr>
      <w:r>
        <w:rPr>
          <w:rFonts w:hint="eastAsia" w:ascii="宋体" w:hAnsi="宋体" w:cs="宋体"/>
          <w:b/>
          <w:sz w:val="24"/>
          <w:lang w:val="en-US" w:eastAsia="zh-CN"/>
        </w:rPr>
        <w:t>九</w:t>
      </w:r>
      <w:r>
        <w:rPr>
          <w:rFonts w:hint="eastAsia" w:ascii="宋体" w:hAnsi="宋体" w:cs="宋体"/>
          <w:b/>
          <w:sz w:val="24"/>
        </w:rPr>
        <w:t>、比选投标须知</w:t>
      </w:r>
    </w:p>
    <w:p>
      <w:pPr>
        <w:spacing w:line="360" w:lineRule="auto"/>
        <w:ind w:firstLine="480" w:firstLineChars="200"/>
        <w:rPr>
          <w:rFonts w:ascii="宋体" w:hAnsi="宋体" w:cs="宋体"/>
          <w:sz w:val="24"/>
        </w:rPr>
      </w:pPr>
      <w:r>
        <w:rPr>
          <w:rFonts w:hint="eastAsia" w:ascii="宋体" w:hAnsi="宋体" w:cs="宋体"/>
          <w:sz w:val="24"/>
        </w:rPr>
        <w:t>（1）投标费用</w:t>
      </w:r>
    </w:p>
    <w:p>
      <w:pPr>
        <w:spacing w:line="360" w:lineRule="auto"/>
        <w:ind w:firstLine="480" w:firstLineChars="200"/>
        <w:rPr>
          <w:rFonts w:ascii="宋体" w:hAnsi="宋体" w:cs="宋体"/>
          <w:sz w:val="24"/>
        </w:rPr>
      </w:pPr>
      <w:r>
        <w:rPr>
          <w:rFonts w:hint="eastAsia" w:ascii="宋体" w:hAnsi="宋体" w:cs="宋体"/>
          <w:sz w:val="24"/>
        </w:rPr>
        <w:t>投标人参加比选项目所产生的一切费用，不论其结果如何，概由投标人自理。</w:t>
      </w:r>
    </w:p>
    <w:p>
      <w:pPr>
        <w:spacing w:line="360" w:lineRule="auto"/>
        <w:ind w:firstLine="480" w:firstLineChars="200"/>
        <w:rPr>
          <w:rFonts w:ascii="宋体" w:hAnsi="宋体" w:cs="宋体"/>
          <w:sz w:val="24"/>
        </w:rPr>
      </w:pPr>
      <w:r>
        <w:rPr>
          <w:rFonts w:hint="eastAsia" w:ascii="宋体" w:hAnsi="宋体" w:cs="宋体"/>
          <w:sz w:val="24"/>
        </w:rPr>
        <w:t>（2）投标单位应在报名期间认真审阅比选文件。如果投标单位没有实质上不响应比选文件的要求，将被视为不合格投标人。</w:t>
      </w:r>
    </w:p>
    <w:p>
      <w:pPr>
        <w:spacing w:line="360" w:lineRule="auto"/>
        <w:ind w:firstLine="480" w:firstLineChars="200"/>
        <w:rPr>
          <w:rFonts w:ascii="宋体" w:hAnsi="宋体" w:cs="宋体"/>
          <w:sz w:val="24"/>
        </w:rPr>
      </w:pPr>
      <w:r>
        <w:rPr>
          <w:rFonts w:hint="eastAsia" w:ascii="宋体" w:hAnsi="宋体" w:cs="宋体"/>
          <w:sz w:val="24"/>
        </w:rPr>
        <w:t>（3）比选文件的解释和澄清</w:t>
      </w:r>
    </w:p>
    <w:p>
      <w:pPr>
        <w:spacing w:line="360" w:lineRule="auto"/>
        <w:ind w:firstLine="480" w:firstLineChars="200"/>
        <w:rPr>
          <w:rFonts w:ascii="宋体" w:hAnsi="宋体" w:cs="宋体"/>
          <w:sz w:val="24"/>
        </w:rPr>
      </w:pPr>
      <w:r>
        <w:rPr>
          <w:rFonts w:hint="eastAsia" w:ascii="宋体" w:hAnsi="宋体" w:cs="宋体"/>
          <w:sz w:val="24"/>
        </w:rPr>
        <w:t>招标人提供的有关资料和数据是招标人现有的能使投标人利用的资料。投标人对比选文件所作的任何推论、解释和结论，招标人概不负责。投标人因对比选文件的任何推论、误解以及招标人对有关问题的口头解释所造成的后果，均由投标人自负。实质上不响应招标文件要求的投标文件将被拒绝。</w:t>
      </w:r>
    </w:p>
    <w:p>
      <w:pPr>
        <w:spacing w:line="360" w:lineRule="auto"/>
        <w:ind w:firstLine="482" w:firstLineChars="200"/>
        <w:rPr>
          <w:rFonts w:ascii="宋体" w:hAnsi="宋体" w:cs="宋体"/>
          <w:b/>
          <w:bCs/>
          <w:sz w:val="24"/>
        </w:rPr>
      </w:pPr>
      <w:r>
        <w:rPr>
          <w:rFonts w:hint="eastAsia" w:ascii="宋体" w:hAnsi="宋体" w:cs="宋体"/>
          <w:b/>
          <w:bCs/>
          <w:sz w:val="24"/>
          <w:lang w:val="en-US" w:eastAsia="zh-CN"/>
        </w:rPr>
        <w:t>十</w:t>
      </w:r>
      <w:r>
        <w:rPr>
          <w:rFonts w:hint="eastAsia" w:ascii="宋体" w:hAnsi="宋体" w:cs="宋体"/>
          <w:b/>
          <w:bCs/>
          <w:sz w:val="24"/>
        </w:rPr>
        <w:t>、投标纪律</w:t>
      </w:r>
    </w:p>
    <w:p>
      <w:pPr>
        <w:spacing w:line="360" w:lineRule="auto"/>
        <w:ind w:firstLine="480" w:firstLineChars="200"/>
        <w:rPr>
          <w:rFonts w:ascii="宋体" w:hAnsi="宋体" w:cs="宋体"/>
          <w:sz w:val="24"/>
        </w:rPr>
      </w:pPr>
      <w:r>
        <w:rPr>
          <w:rFonts w:hint="eastAsia" w:ascii="宋体" w:hAnsi="宋体" w:cs="宋体"/>
          <w:sz w:val="24"/>
        </w:rPr>
        <w:t>1、投标单位不得对招标单位、评标人员施加任何影响，否则将取消其投标资格；</w:t>
      </w:r>
    </w:p>
    <w:p>
      <w:pPr>
        <w:spacing w:line="360" w:lineRule="auto"/>
        <w:ind w:firstLine="480" w:firstLineChars="200"/>
        <w:rPr>
          <w:rFonts w:ascii="宋体" w:hAnsi="宋体" w:cs="宋体"/>
          <w:sz w:val="24"/>
        </w:rPr>
      </w:pPr>
      <w:r>
        <w:rPr>
          <w:rFonts w:hint="eastAsia" w:ascii="宋体" w:hAnsi="宋体" w:cs="宋体"/>
          <w:sz w:val="24"/>
        </w:rPr>
        <w:t>2、投标单位不得以挂靠单位、转让证件等形式参与投标，否则其投标无效；</w:t>
      </w:r>
    </w:p>
    <w:p>
      <w:pPr>
        <w:spacing w:line="360" w:lineRule="auto"/>
        <w:ind w:firstLine="480" w:firstLineChars="200"/>
        <w:rPr>
          <w:rFonts w:ascii="宋体" w:hAnsi="宋体" w:cs="宋体"/>
          <w:sz w:val="24"/>
        </w:rPr>
      </w:pPr>
      <w:r>
        <w:rPr>
          <w:rFonts w:hint="eastAsia" w:ascii="宋体" w:hAnsi="宋体" w:cs="宋体"/>
          <w:sz w:val="24"/>
        </w:rPr>
        <w:t>3、投标单位中标后未经招标人书面同意，转让招标代理业务的，将取消其中标资格；</w:t>
      </w:r>
    </w:p>
    <w:p>
      <w:pPr>
        <w:spacing w:line="360" w:lineRule="auto"/>
        <w:ind w:firstLine="480" w:firstLineChars="200"/>
        <w:rPr>
          <w:rFonts w:ascii="宋体" w:hAnsi="宋体" w:cs="宋体"/>
          <w:sz w:val="24"/>
        </w:rPr>
      </w:pPr>
      <w:r>
        <w:rPr>
          <w:rFonts w:hint="eastAsia" w:ascii="宋体" w:hAnsi="宋体" w:cs="宋体"/>
          <w:sz w:val="24"/>
        </w:rPr>
        <w:t>4、各投标单位必须遵守招标单位的一切会议安排，不得以任何理由、任何手段干预、扰乱会场，否则取消其投标资格；</w:t>
      </w:r>
    </w:p>
    <w:p>
      <w:pPr>
        <w:spacing w:line="360" w:lineRule="auto"/>
        <w:ind w:firstLine="480" w:firstLineChars="200"/>
        <w:rPr>
          <w:rFonts w:ascii="宋体" w:hAnsi="宋体" w:cs="宋体"/>
          <w:sz w:val="24"/>
        </w:rPr>
      </w:pPr>
      <w:r>
        <w:rPr>
          <w:rFonts w:hint="eastAsia" w:ascii="宋体" w:hAnsi="宋体" w:cs="宋体"/>
          <w:sz w:val="24"/>
        </w:rPr>
        <w:t>5、投标书中的一切证明、证件必须真实可靠，否则取消其投标资格；</w:t>
      </w:r>
    </w:p>
    <w:p>
      <w:pPr>
        <w:spacing w:line="360" w:lineRule="auto"/>
        <w:ind w:firstLine="480" w:firstLineChars="200"/>
        <w:rPr>
          <w:rFonts w:ascii="宋体" w:hAnsi="宋体" w:cs="宋体"/>
          <w:sz w:val="24"/>
        </w:rPr>
      </w:pPr>
      <w:r>
        <w:rPr>
          <w:rFonts w:hint="eastAsia" w:ascii="宋体" w:hAnsi="宋体" w:cs="宋体"/>
          <w:sz w:val="24"/>
        </w:rPr>
        <w:t>6、投标单位法定代表人或其委托代理人参加本项目招标的一切活动，必须出示单位法定代表人身份证明、有效身份证或盖有法定代表人私章（签名）并</w:t>
      </w:r>
      <w:bookmarkStart w:id="9" w:name="OLE_LINK1"/>
      <w:r>
        <w:rPr>
          <w:rFonts w:hint="eastAsia" w:ascii="宋体" w:hAnsi="宋体" w:cs="宋体"/>
          <w:sz w:val="24"/>
        </w:rPr>
        <w:t>盖投标单位公章</w:t>
      </w:r>
      <w:bookmarkEnd w:id="9"/>
      <w:r>
        <w:rPr>
          <w:rFonts w:hint="eastAsia" w:ascii="宋体" w:hAnsi="宋体" w:cs="宋体"/>
          <w:sz w:val="24"/>
        </w:rPr>
        <w:t>的授权委托书、委托代理人身份证。</w:t>
      </w:r>
    </w:p>
    <w:p>
      <w:pPr>
        <w:spacing w:line="360" w:lineRule="auto"/>
        <w:ind w:firstLine="482" w:firstLineChars="200"/>
        <w:rPr>
          <w:rFonts w:ascii="宋体" w:hAnsi="宋体" w:cs="宋体"/>
          <w:b/>
          <w:bCs/>
          <w:sz w:val="24"/>
        </w:rPr>
      </w:pPr>
      <w:r>
        <w:rPr>
          <w:rFonts w:hint="eastAsia" w:ascii="宋体" w:hAnsi="宋体" w:cs="宋体"/>
          <w:b/>
          <w:bCs/>
          <w:sz w:val="24"/>
          <w:lang w:val="en-US" w:eastAsia="zh-CN"/>
        </w:rPr>
        <w:t>十一</w:t>
      </w:r>
      <w:r>
        <w:rPr>
          <w:rFonts w:hint="eastAsia" w:ascii="宋体" w:hAnsi="宋体" w:cs="宋体"/>
          <w:b/>
          <w:bCs/>
          <w:sz w:val="24"/>
        </w:rPr>
        <w:t>、比选投标文件的编制要求</w:t>
      </w:r>
    </w:p>
    <w:p>
      <w:pPr>
        <w:spacing w:line="360" w:lineRule="auto"/>
        <w:ind w:firstLine="480" w:firstLineChars="200"/>
        <w:rPr>
          <w:rFonts w:ascii="宋体" w:hAnsi="宋体" w:cs="宋体"/>
          <w:sz w:val="24"/>
        </w:rPr>
      </w:pPr>
      <w:r>
        <w:rPr>
          <w:rFonts w:hint="eastAsia" w:ascii="宋体" w:hAnsi="宋体" w:cs="宋体"/>
          <w:sz w:val="24"/>
        </w:rPr>
        <w:t>比选投标文件的组成。投标文件包括商务标和技术标两部分，商务标和技术标可装订为一本。</w:t>
      </w:r>
    </w:p>
    <w:p>
      <w:pPr>
        <w:spacing w:line="360" w:lineRule="auto"/>
        <w:ind w:firstLine="480" w:firstLineChars="200"/>
        <w:rPr>
          <w:rFonts w:ascii="宋体" w:hAnsi="宋体" w:cs="宋体"/>
          <w:sz w:val="24"/>
        </w:rPr>
      </w:pPr>
      <w:r>
        <w:rPr>
          <w:rFonts w:hint="eastAsia" w:ascii="宋体" w:hAnsi="宋体" w:cs="宋体"/>
          <w:sz w:val="24"/>
        </w:rPr>
        <w:t>（一）商务标部份应包括下列内容：</w:t>
      </w:r>
    </w:p>
    <w:p>
      <w:pPr>
        <w:spacing w:line="360" w:lineRule="auto"/>
        <w:ind w:firstLine="480" w:firstLineChars="200"/>
        <w:rPr>
          <w:rFonts w:ascii="宋体" w:hAnsi="宋体" w:cs="宋体"/>
          <w:sz w:val="24"/>
        </w:rPr>
      </w:pPr>
      <w:r>
        <w:rPr>
          <w:rFonts w:hint="eastAsia" w:ascii="宋体" w:hAnsi="宋体" w:cs="宋体"/>
          <w:sz w:val="24"/>
        </w:rPr>
        <w:t>1、参加比选的代表不是法定代表人的，须有法定代表人签署的授权委托书并加盖单位公章，并附法定代表人有效身份证和被授权人有效身份证复印件；</w:t>
      </w:r>
    </w:p>
    <w:p>
      <w:pPr>
        <w:spacing w:line="360" w:lineRule="auto"/>
        <w:ind w:firstLine="480" w:firstLineChars="200"/>
        <w:rPr>
          <w:rFonts w:ascii="宋体" w:hAnsi="宋体" w:cs="宋体"/>
          <w:sz w:val="24"/>
        </w:rPr>
      </w:pPr>
      <w:r>
        <w:rPr>
          <w:rFonts w:hint="eastAsia" w:ascii="宋体" w:hAnsi="宋体" w:cs="宋体"/>
          <w:sz w:val="24"/>
        </w:rPr>
        <w:t>2、服务承诺书；</w:t>
      </w:r>
    </w:p>
    <w:p>
      <w:pPr>
        <w:pStyle w:val="4"/>
      </w:pPr>
      <w:r>
        <w:rPr>
          <w:rFonts w:hint="eastAsia" w:ascii="宋体" w:hAnsi="宋体" w:eastAsia="宋体" w:cs="宋体"/>
          <w:kern w:val="2"/>
          <w:sz w:val="24"/>
          <w:szCs w:val="24"/>
        </w:rPr>
        <w:t xml:space="preserve">    3、服务方案；</w:t>
      </w:r>
    </w:p>
    <w:p>
      <w:pPr>
        <w:spacing w:line="360" w:lineRule="auto"/>
        <w:ind w:firstLine="480" w:firstLineChars="200"/>
        <w:rPr>
          <w:rFonts w:ascii="宋体" w:hAnsi="宋体" w:cs="宋体"/>
          <w:sz w:val="24"/>
        </w:rPr>
      </w:pPr>
      <w:r>
        <w:rPr>
          <w:rFonts w:hint="eastAsia" w:ascii="宋体" w:hAnsi="宋体" w:cs="宋体"/>
          <w:sz w:val="24"/>
        </w:rPr>
        <w:t>4、比选投标单位基本情况；</w:t>
      </w:r>
    </w:p>
    <w:p>
      <w:pPr>
        <w:spacing w:line="360" w:lineRule="auto"/>
        <w:ind w:firstLine="480" w:firstLineChars="200"/>
        <w:rPr>
          <w:rFonts w:ascii="宋体" w:hAnsi="宋体" w:cs="宋体"/>
          <w:sz w:val="24"/>
        </w:rPr>
      </w:pPr>
      <w:r>
        <w:rPr>
          <w:rFonts w:hint="eastAsia" w:ascii="宋体" w:hAnsi="宋体" w:cs="宋体"/>
          <w:sz w:val="24"/>
        </w:rPr>
        <w:t>5、比选投标单位近三年来成功案例业绩证明资料；</w:t>
      </w:r>
    </w:p>
    <w:p>
      <w:pPr>
        <w:spacing w:line="360" w:lineRule="auto"/>
        <w:ind w:firstLine="480" w:firstLineChars="200"/>
        <w:rPr>
          <w:rFonts w:ascii="宋体" w:hAnsi="宋体" w:cs="宋体"/>
          <w:sz w:val="24"/>
        </w:rPr>
      </w:pPr>
      <w:r>
        <w:rPr>
          <w:rFonts w:hint="eastAsia" w:ascii="宋体" w:hAnsi="宋体" w:cs="宋体"/>
          <w:sz w:val="24"/>
        </w:rPr>
        <w:t>6、比选投标单位拟委派项目负责人及相关人员资格情况一览表（包括：姓名、性别、出生年月、学历、职称、执业资格、身份证编号），并提供员工近三个月缴纳社保证明资料及相应学历、职称、执业资格、身份证的复印件（加盖投标单位公章）；</w:t>
      </w:r>
    </w:p>
    <w:p>
      <w:pPr>
        <w:spacing w:line="360" w:lineRule="auto"/>
        <w:ind w:firstLine="480" w:firstLineChars="200"/>
        <w:rPr>
          <w:rFonts w:ascii="宋体" w:hAnsi="宋体" w:cs="宋体"/>
          <w:sz w:val="24"/>
        </w:rPr>
      </w:pPr>
      <w:r>
        <w:rPr>
          <w:rFonts w:hint="eastAsia" w:ascii="宋体" w:hAnsi="宋体" w:cs="宋体"/>
          <w:sz w:val="24"/>
        </w:rPr>
        <w:t>7、比选投标单位相关企业证书（企业法人营业执照副本、企业法人组织机构代码证、</w:t>
      </w:r>
      <w:r>
        <w:rPr>
          <w:rFonts w:hint="eastAsia" w:ascii="宋体" w:hAnsi="宋体" w:cs="宋体"/>
          <w:sz w:val="24"/>
          <w:highlight w:val="green"/>
        </w:rPr>
        <w:t>电子卖场（提供相关网上截图）</w:t>
      </w:r>
      <w:r>
        <w:rPr>
          <w:rFonts w:hint="eastAsia" w:ascii="宋体" w:hAnsi="宋体" w:cs="宋体"/>
          <w:sz w:val="24"/>
        </w:rPr>
        <w:t>等的复印件）；</w:t>
      </w:r>
    </w:p>
    <w:p>
      <w:pPr>
        <w:spacing w:line="360" w:lineRule="auto"/>
        <w:ind w:firstLine="480" w:firstLineChars="200"/>
        <w:rPr>
          <w:rFonts w:ascii="宋体" w:hAnsi="宋体" w:cs="宋体"/>
          <w:sz w:val="24"/>
        </w:rPr>
      </w:pPr>
      <w:r>
        <w:rPr>
          <w:rFonts w:hint="eastAsia" w:ascii="宋体" w:hAnsi="宋体" w:cs="宋体"/>
          <w:sz w:val="24"/>
        </w:rPr>
        <w:t>8、特定资格证明文件；</w:t>
      </w:r>
    </w:p>
    <w:p>
      <w:pPr>
        <w:spacing w:line="360" w:lineRule="auto"/>
        <w:ind w:firstLine="480" w:firstLineChars="200"/>
        <w:rPr>
          <w:rFonts w:ascii="宋体" w:hAnsi="宋体" w:cs="宋体"/>
          <w:sz w:val="24"/>
        </w:rPr>
      </w:pPr>
      <w:r>
        <w:rPr>
          <w:rFonts w:hint="eastAsia" w:ascii="宋体" w:hAnsi="宋体" w:cs="宋体"/>
          <w:sz w:val="24"/>
        </w:rPr>
        <w:t>9、投标单位认为需要提供的其他资料文件。</w:t>
      </w:r>
    </w:p>
    <w:p>
      <w:pPr>
        <w:spacing w:line="360" w:lineRule="auto"/>
        <w:ind w:firstLine="480" w:firstLineChars="200"/>
        <w:rPr>
          <w:rFonts w:ascii="宋体" w:hAnsi="宋体" w:cs="宋体"/>
          <w:sz w:val="24"/>
        </w:rPr>
      </w:pPr>
      <w:r>
        <w:rPr>
          <w:rFonts w:hint="eastAsia" w:ascii="宋体" w:hAnsi="宋体" w:cs="宋体"/>
          <w:sz w:val="24"/>
        </w:rPr>
        <w:t>（二）技术部分由投标单位自行编制。</w:t>
      </w:r>
    </w:p>
    <w:p>
      <w:pPr>
        <w:spacing w:line="360" w:lineRule="auto"/>
        <w:ind w:firstLine="480" w:firstLineChars="200"/>
        <w:rPr>
          <w:rFonts w:ascii="宋体" w:hAnsi="宋体" w:cs="宋体"/>
          <w:sz w:val="24"/>
        </w:rPr>
      </w:pPr>
      <w:r>
        <w:rPr>
          <w:rFonts w:hint="eastAsia" w:ascii="宋体" w:hAnsi="宋体" w:cs="宋体"/>
          <w:sz w:val="24"/>
        </w:rPr>
        <w:t>注：各比选</w:t>
      </w:r>
      <w:bookmarkStart w:id="10" w:name="OLE_LINK3"/>
      <w:r>
        <w:rPr>
          <w:rFonts w:hint="eastAsia" w:ascii="宋体" w:hAnsi="宋体" w:cs="宋体"/>
          <w:sz w:val="24"/>
        </w:rPr>
        <w:t>投标单位</w:t>
      </w:r>
      <w:bookmarkEnd w:id="10"/>
      <w:r>
        <w:rPr>
          <w:rFonts w:hint="eastAsia" w:ascii="宋体" w:hAnsi="宋体" w:cs="宋体"/>
          <w:sz w:val="24"/>
        </w:rPr>
        <w:t>应保证上述资料的真实、可靠，如提供的资料和数据出现弄虚作假的情况即取消比选资格或中标候选人资格。</w:t>
      </w:r>
    </w:p>
    <w:p>
      <w:pPr>
        <w:spacing w:line="360" w:lineRule="auto"/>
        <w:ind w:firstLine="482" w:firstLineChars="200"/>
        <w:rPr>
          <w:rFonts w:ascii="宋体" w:hAnsi="宋体" w:cs="宋体"/>
          <w:b/>
          <w:bCs/>
          <w:sz w:val="24"/>
        </w:rPr>
      </w:pPr>
      <w:r>
        <w:rPr>
          <w:rFonts w:hint="eastAsia" w:ascii="宋体" w:hAnsi="宋体" w:cs="宋体"/>
          <w:b/>
          <w:bCs/>
          <w:sz w:val="24"/>
          <w:lang w:val="en-US" w:eastAsia="zh-CN"/>
        </w:rPr>
        <w:t>十二</w:t>
      </w:r>
      <w:r>
        <w:rPr>
          <w:rFonts w:hint="eastAsia" w:ascii="宋体" w:hAnsi="宋体" w:cs="宋体"/>
          <w:b/>
          <w:bCs/>
          <w:sz w:val="24"/>
        </w:rPr>
        <w:t>、比选投标文件的份数与签署</w:t>
      </w:r>
    </w:p>
    <w:p>
      <w:pPr>
        <w:spacing w:line="360" w:lineRule="auto"/>
        <w:ind w:firstLine="480" w:firstLineChars="200"/>
        <w:rPr>
          <w:rFonts w:ascii="宋体" w:hAnsi="宋体" w:cs="宋体"/>
          <w:sz w:val="24"/>
        </w:rPr>
      </w:pPr>
      <w:r>
        <w:rPr>
          <w:rFonts w:hint="eastAsia" w:ascii="宋体" w:hAnsi="宋体" w:cs="宋体"/>
          <w:sz w:val="24"/>
        </w:rPr>
        <w:t>（1）比选投标文件一正三副，字迹应清晰易于辨认,并清楚地注明“正本”或“副本”，正本的签署应完好无缺；正本和副本如有不一致之处，以正本为准；如未注明“正本”或“副本”，且投标文件中实质性内容表述不一致的，则视为不合格投标人。</w:t>
      </w:r>
    </w:p>
    <w:p>
      <w:pPr>
        <w:spacing w:line="360" w:lineRule="auto"/>
        <w:ind w:firstLine="480" w:firstLineChars="200"/>
        <w:rPr>
          <w:rFonts w:ascii="宋体" w:hAnsi="宋体" w:cs="宋体"/>
          <w:sz w:val="24"/>
        </w:rPr>
      </w:pPr>
      <w:r>
        <w:rPr>
          <w:rFonts w:hint="eastAsia" w:ascii="宋体" w:hAnsi="宋体" w:cs="宋体"/>
          <w:sz w:val="24"/>
        </w:rPr>
        <w:t xml:space="preserve">（2）投标文件（内封面或外封面）、比选承诺函应加盖投标单位公章，并由法定代表人或其委托人签字或盖章，否则视为不合格投标人。 </w:t>
      </w:r>
    </w:p>
    <w:p>
      <w:pPr>
        <w:spacing w:line="360" w:lineRule="auto"/>
        <w:ind w:firstLine="480" w:firstLineChars="200"/>
        <w:rPr>
          <w:rFonts w:ascii="宋体" w:hAnsi="宋体" w:cs="宋体"/>
          <w:sz w:val="24"/>
        </w:rPr>
      </w:pPr>
      <w:r>
        <w:rPr>
          <w:rFonts w:hint="eastAsia" w:ascii="宋体" w:hAnsi="宋体" w:cs="宋体"/>
          <w:sz w:val="24"/>
        </w:rPr>
        <w:t>(3)除投标人对商务标错误处须修改外，全套投标文件应无涂改或行间插字和增删。如有修改，修改处应由投标人加盖公章或由投标文件签署人签字并盖章，否则其修改的内容无效。</w:t>
      </w:r>
    </w:p>
    <w:p>
      <w:pPr>
        <w:spacing w:line="360" w:lineRule="auto"/>
        <w:ind w:firstLine="480" w:firstLineChars="200"/>
        <w:rPr>
          <w:rFonts w:ascii="宋体" w:hAnsi="宋体" w:cs="宋体"/>
          <w:sz w:val="24"/>
        </w:rPr>
      </w:pPr>
      <w:r>
        <w:rPr>
          <w:rFonts w:hint="eastAsia" w:ascii="宋体" w:hAnsi="宋体" w:cs="宋体"/>
          <w:sz w:val="24"/>
        </w:rPr>
        <w:t>(4)电报、电话或传真形式的投标，招标人概不接受。</w:t>
      </w:r>
    </w:p>
    <w:p>
      <w:pPr>
        <w:spacing w:line="360" w:lineRule="auto"/>
        <w:ind w:firstLine="482" w:firstLineChars="200"/>
        <w:rPr>
          <w:rFonts w:ascii="宋体" w:hAnsi="宋体" w:cs="宋体"/>
          <w:b/>
          <w:bCs/>
          <w:sz w:val="24"/>
        </w:rPr>
      </w:pPr>
      <w:r>
        <w:rPr>
          <w:rFonts w:hint="eastAsia" w:ascii="宋体" w:hAnsi="宋体" w:cs="宋体"/>
          <w:b/>
          <w:bCs/>
          <w:sz w:val="24"/>
          <w:lang w:val="en-US" w:eastAsia="zh-CN"/>
        </w:rPr>
        <w:t>十三</w:t>
      </w:r>
      <w:r>
        <w:rPr>
          <w:rFonts w:hint="eastAsia" w:ascii="宋体" w:hAnsi="宋体" w:cs="宋体"/>
          <w:b/>
          <w:bCs/>
          <w:sz w:val="24"/>
        </w:rPr>
        <w:t>、投标文件的密封与递交</w:t>
      </w:r>
    </w:p>
    <w:p>
      <w:pPr>
        <w:spacing w:line="360" w:lineRule="auto"/>
        <w:ind w:firstLine="480" w:firstLineChars="200"/>
        <w:rPr>
          <w:rFonts w:ascii="宋体" w:hAnsi="宋体" w:cs="宋体"/>
          <w:sz w:val="24"/>
        </w:rPr>
      </w:pPr>
      <w:r>
        <w:rPr>
          <w:rFonts w:hint="eastAsia" w:ascii="宋体" w:hAnsi="宋体" w:cs="宋体"/>
          <w:sz w:val="24"/>
        </w:rPr>
        <w:t>(1)投标文件的装订密封和标记</w:t>
      </w:r>
    </w:p>
    <w:p>
      <w:pPr>
        <w:spacing w:line="360" w:lineRule="auto"/>
        <w:ind w:firstLine="480" w:firstLineChars="200"/>
        <w:rPr>
          <w:rFonts w:ascii="宋体" w:hAnsi="宋体" w:cs="宋体"/>
          <w:sz w:val="24"/>
        </w:rPr>
      </w:pPr>
      <w:r>
        <w:rPr>
          <w:rFonts w:hint="eastAsia" w:ascii="宋体" w:hAnsi="宋体" w:cs="宋体"/>
          <w:sz w:val="24"/>
        </w:rPr>
        <w:t>投标人应将投标文件密封包装。</w:t>
      </w:r>
    </w:p>
    <w:p>
      <w:pPr>
        <w:spacing w:line="360" w:lineRule="auto"/>
        <w:ind w:firstLine="480" w:firstLineChars="200"/>
        <w:rPr>
          <w:rFonts w:ascii="宋体" w:hAnsi="宋体" w:cs="宋体"/>
          <w:sz w:val="24"/>
        </w:rPr>
      </w:pPr>
      <w:r>
        <w:rPr>
          <w:rFonts w:hint="eastAsia" w:ascii="宋体" w:hAnsi="宋体" w:cs="宋体"/>
          <w:sz w:val="24"/>
        </w:rPr>
        <w:t>投标文件封皮上应注明招标项目名称、投标人名称。投标文件密封袋应密封完整，并在封口处加盖投标人公章和法定代表人或委托代理人签字（或印章）。</w:t>
      </w:r>
    </w:p>
    <w:p>
      <w:pPr>
        <w:spacing w:line="360" w:lineRule="auto"/>
        <w:ind w:firstLine="480" w:firstLineChars="200"/>
        <w:rPr>
          <w:rFonts w:ascii="宋体" w:hAnsi="宋体" w:cs="宋体"/>
          <w:sz w:val="24"/>
        </w:rPr>
      </w:pPr>
      <w:r>
        <w:rPr>
          <w:rFonts w:hint="eastAsia" w:ascii="宋体" w:hAnsi="宋体" w:cs="宋体"/>
          <w:sz w:val="24"/>
        </w:rPr>
        <w:t>投标书未按上述规定密封的视为无效投标书。</w:t>
      </w:r>
    </w:p>
    <w:p>
      <w:pPr>
        <w:spacing w:line="360" w:lineRule="auto"/>
        <w:ind w:firstLine="480" w:firstLineChars="200"/>
        <w:rPr>
          <w:rFonts w:ascii="宋体" w:hAnsi="宋体" w:cs="宋体"/>
          <w:sz w:val="24"/>
        </w:rPr>
      </w:pPr>
      <w:r>
        <w:rPr>
          <w:rFonts w:hint="eastAsia" w:ascii="宋体" w:hAnsi="宋体" w:cs="宋体"/>
          <w:sz w:val="24"/>
          <w:highlight w:val="green"/>
        </w:rPr>
        <w:t>同时递交一份资质证明文件。</w:t>
      </w:r>
    </w:p>
    <w:p>
      <w:pPr>
        <w:spacing w:line="360" w:lineRule="auto"/>
        <w:ind w:firstLine="480" w:firstLineChars="200"/>
        <w:rPr>
          <w:rFonts w:ascii="宋体" w:hAnsi="宋体" w:cs="宋体"/>
          <w:sz w:val="24"/>
        </w:rPr>
      </w:pPr>
      <w:r>
        <w:rPr>
          <w:rFonts w:hint="eastAsia" w:ascii="宋体" w:hAnsi="宋体" w:cs="宋体"/>
          <w:sz w:val="24"/>
        </w:rPr>
        <w:t>(2)投标文件的递交</w:t>
      </w:r>
    </w:p>
    <w:p>
      <w:pPr>
        <w:spacing w:line="360" w:lineRule="auto"/>
        <w:ind w:firstLine="480" w:firstLineChars="200"/>
        <w:rPr>
          <w:rFonts w:ascii="宋体" w:hAnsi="宋体" w:cs="宋体"/>
          <w:sz w:val="24"/>
        </w:rPr>
      </w:pPr>
      <w:r>
        <w:rPr>
          <w:rFonts w:hint="eastAsia" w:ascii="宋体" w:hAnsi="宋体" w:cs="宋体"/>
          <w:sz w:val="24"/>
        </w:rPr>
        <w:t>各投标人的投标书由专人于规定的投标截止时间之前送至湖南化工职业技术学院行政楼</w:t>
      </w:r>
      <w:r>
        <w:rPr>
          <w:rFonts w:hint="eastAsia" w:ascii="宋体" w:hAnsi="宋体" w:cs="宋体"/>
          <w:sz w:val="24"/>
          <w:lang w:val="en-US" w:eastAsia="zh-CN"/>
        </w:rPr>
        <w:t>110</w:t>
      </w:r>
      <w:r>
        <w:rPr>
          <w:rFonts w:hint="eastAsia" w:ascii="宋体" w:hAnsi="宋体" w:cs="宋体"/>
          <w:sz w:val="24"/>
        </w:rPr>
        <w:t>会议室，由工作人员登记。投标时间截止后，逾期送达的投标书将被招标单位拒收，其投标书为无效投标书。</w:t>
      </w:r>
    </w:p>
    <w:p>
      <w:pPr>
        <w:spacing w:before="156" w:beforeLines="50" w:after="156" w:afterLines="50" w:line="360" w:lineRule="auto"/>
        <w:ind w:firstLine="482" w:firstLineChars="200"/>
        <w:rPr>
          <w:rFonts w:ascii="宋体" w:hAnsi="宋体" w:cs="宋体"/>
          <w:b/>
          <w:sz w:val="24"/>
        </w:rPr>
      </w:pPr>
      <w:r>
        <w:rPr>
          <w:rFonts w:hint="eastAsia" w:ascii="宋体" w:hAnsi="宋体" w:cs="宋体"/>
          <w:b/>
          <w:sz w:val="24"/>
          <w:lang w:val="en-US" w:eastAsia="zh-CN"/>
        </w:rPr>
        <w:t>十四</w:t>
      </w:r>
      <w:r>
        <w:rPr>
          <w:rFonts w:hint="eastAsia" w:ascii="宋体" w:hAnsi="宋体" w:cs="宋体"/>
          <w:b/>
          <w:sz w:val="24"/>
        </w:rPr>
        <w:t>、评标办法和选取确认方式</w:t>
      </w:r>
    </w:p>
    <w:p>
      <w:pPr>
        <w:spacing w:line="360" w:lineRule="auto"/>
        <w:ind w:firstLine="480" w:firstLineChars="200"/>
        <w:rPr>
          <w:rFonts w:ascii="宋体" w:hAnsi="宋体" w:cs="宋体"/>
          <w:sz w:val="24"/>
        </w:rPr>
      </w:pPr>
      <w:r>
        <w:rPr>
          <w:rFonts w:hint="eastAsia" w:ascii="宋体" w:hAnsi="宋体" w:cs="宋体"/>
          <w:sz w:val="24"/>
        </w:rPr>
        <w:t>1、比选评分标准</w:t>
      </w:r>
    </w:p>
    <w:p>
      <w:pPr>
        <w:spacing w:line="360" w:lineRule="auto"/>
        <w:ind w:firstLine="480" w:firstLineChars="200"/>
        <w:rPr>
          <w:rFonts w:ascii="宋体" w:hAnsi="宋体" w:cs="宋体"/>
          <w:sz w:val="24"/>
        </w:rPr>
      </w:pPr>
      <w:r>
        <w:rPr>
          <w:rFonts w:hint="eastAsia" w:ascii="宋体" w:hAnsi="宋体" w:cs="宋体"/>
          <w:sz w:val="24"/>
        </w:rPr>
        <w:t>对参与比选的投标人进行资格审查后，按比选评分标准对各投标人进行打分，综合得分排名前1名的投标人获得本次比选的中标资格，比选评分标准附后。</w:t>
      </w:r>
    </w:p>
    <w:p>
      <w:pPr>
        <w:pStyle w:val="5"/>
        <w:spacing w:after="0"/>
        <w:jc w:val="center"/>
        <w:rPr>
          <w:rFonts w:hint="eastAsia" w:ascii="仿宋" w:hAnsi="仿宋" w:eastAsia="仿宋" w:cs="仿宋"/>
          <w:b/>
          <w:bCs/>
          <w:sz w:val="28"/>
          <w:szCs w:val="28"/>
        </w:rPr>
      </w:pPr>
      <w:r>
        <w:rPr>
          <w:rFonts w:hint="eastAsia" w:ascii="仿宋" w:hAnsi="仿宋" w:eastAsia="仿宋" w:cs="仿宋"/>
          <w:b/>
          <w:bCs/>
          <w:sz w:val="28"/>
          <w:szCs w:val="28"/>
        </w:rPr>
        <w:t>比选</w:t>
      </w:r>
      <w:bookmarkStart w:id="11" w:name="_Hlk160818547"/>
      <w:r>
        <w:rPr>
          <w:rFonts w:hint="eastAsia" w:ascii="仿宋" w:hAnsi="仿宋" w:eastAsia="仿宋" w:cs="仿宋"/>
          <w:b/>
          <w:bCs/>
          <w:sz w:val="28"/>
          <w:szCs w:val="28"/>
        </w:rPr>
        <w:t>评分标准</w:t>
      </w:r>
      <w:bookmarkEnd w:id="11"/>
    </w:p>
    <w:tbl>
      <w:tblPr>
        <w:tblStyle w:val="13"/>
        <w:tblW w:w="9243" w:type="dxa"/>
        <w:jc w:val="center"/>
        <w:tblLayout w:type="fixed"/>
        <w:tblCellMar>
          <w:top w:w="0" w:type="dxa"/>
          <w:left w:w="108" w:type="dxa"/>
          <w:bottom w:w="0" w:type="dxa"/>
          <w:right w:w="108" w:type="dxa"/>
        </w:tblCellMar>
      </w:tblPr>
      <w:tblGrid>
        <w:gridCol w:w="802"/>
        <w:gridCol w:w="1295"/>
        <w:gridCol w:w="742"/>
        <w:gridCol w:w="5581"/>
        <w:gridCol w:w="823"/>
      </w:tblGrid>
      <w:tr>
        <w:tblPrEx>
          <w:tblCellMar>
            <w:top w:w="0" w:type="dxa"/>
            <w:left w:w="108" w:type="dxa"/>
            <w:bottom w:w="0" w:type="dxa"/>
            <w:right w:w="108" w:type="dxa"/>
          </w:tblCellMar>
        </w:tblPrEx>
        <w:trPr>
          <w:trHeight w:val="660" w:hRule="atLeast"/>
          <w:jc w:val="center"/>
        </w:trPr>
        <w:tc>
          <w:tcPr>
            <w:tcW w:w="80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auto"/>
                <w:kern w:val="0"/>
                <w:sz w:val="24"/>
                <w:szCs w:val="24"/>
                <w:highlight w:val="none"/>
              </w:rPr>
            </w:pPr>
            <w:bookmarkStart w:id="12" w:name="_Hlk144297932"/>
            <w:r>
              <w:rPr>
                <w:rFonts w:hint="eastAsia" w:ascii="宋体" w:hAnsi="宋体" w:eastAsia="宋体" w:cs="宋体"/>
                <w:b/>
                <w:color w:val="auto"/>
                <w:kern w:val="0"/>
                <w:sz w:val="24"/>
                <w:szCs w:val="24"/>
                <w:highlight w:val="none"/>
              </w:rPr>
              <w:t>序号</w:t>
            </w:r>
          </w:p>
        </w:tc>
        <w:tc>
          <w:tcPr>
            <w:tcW w:w="1295"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评审因素</w:t>
            </w:r>
          </w:p>
        </w:tc>
        <w:tc>
          <w:tcPr>
            <w:tcW w:w="74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分值</w:t>
            </w:r>
          </w:p>
        </w:tc>
        <w:tc>
          <w:tcPr>
            <w:tcW w:w="558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评分标准</w:t>
            </w:r>
          </w:p>
        </w:tc>
        <w:tc>
          <w:tcPr>
            <w:tcW w:w="8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说明</w:t>
            </w:r>
          </w:p>
        </w:tc>
      </w:tr>
      <w:tr>
        <w:tblPrEx>
          <w:tblCellMar>
            <w:top w:w="0" w:type="dxa"/>
            <w:left w:w="108" w:type="dxa"/>
            <w:bottom w:w="0" w:type="dxa"/>
            <w:right w:w="108" w:type="dxa"/>
          </w:tblCellMar>
        </w:tblPrEx>
        <w:trPr>
          <w:trHeight w:val="660" w:hRule="atLeast"/>
          <w:jc w:val="center"/>
        </w:trPr>
        <w:tc>
          <w:tcPr>
            <w:tcW w:w="802"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p>
        </w:tc>
        <w:tc>
          <w:tcPr>
            <w:tcW w:w="129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投标报价</w:t>
            </w:r>
          </w:p>
        </w:tc>
        <w:tc>
          <w:tcPr>
            <w:tcW w:w="742"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30</w:t>
            </w:r>
          </w:p>
        </w:tc>
        <w:tc>
          <w:tcPr>
            <w:tcW w:w="558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以经评委会一致认定满足采购文件要求且投标价格</w:t>
            </w:r>
            <w:r>
              <w:rPr>
                <w:rFonts w:hint="eastAsia" w:ascii="宋体" w:hAnsi="宋体" w:eastAsia="宋体" w:cs="宋体"/>
                <w:color w:val="auto"/>
                <w:kern w:val="0"/>
                <w:sz w:val="24"/>
                <w:szCs w:val="24"/>
                <w:highlight w:val="none"/>
                <w:lang w:eastAsia="zh-CN"/>
              </w:rPr>
              <w:t>（所有项目单价之和）</w:t>
            </w:r>
            <w:r>
              <w:rPr>
                <w:rFonts w:hint="eastAsia" w:ascii="宋体" w:hAnsi="宋体" w:eastAsia="宋体" w:cs="宋体"/>
                <w:color w:val="auto"/>
                <w:kern w:val="0"/>
                <w:sz w:val="24"/>
                <w:szCs w:val="24"/>
                <w:highlight w:val="none"/>
              </w:rPr>
              <w:t>最低的评审报价为评标基准价，其价格得分计30分。其他投标人的价格得分统一按公式计算：</w:t>
            </w:r>
            <w:r>
              <w:rPr>
                <w:rFonts w:hint="eastAsia" w:ascii="宋体" w:hAnsi="宋体" w:eastAsia="宋体" w:cs="宋体"/>
                <w:color w:val="auto"/>
                <w:kern w:val="0"/>
                <w:sz w:val="24"/>
                <w:szCs w:val="24"/>
                <w:highlight w:val="none"/>
              </w:rPr>
              <w:br w:type="textWrapping"/>
            </w:r>
            <w:r>
              <w:rPr>
                <w:rFonts w:hint="eastAsia" w:ascii="宋体" w:hAnsi="宋体" w:eastAsia="宋体" w:cs="宋体"/>
                <w:color w:val="auto"/>
                <w:kern w:val="0"/>
                <w:sz w:val="24"/>
                <w:szCs w:val="24"/>
                <w:highlight w:val="none"/>
              </w:rPr>
              <w:t>报价得分＝（评标基准价/投标报价）×30分。</w:t>
            </w:r>
          </w:p>
        </w:tc>
        <w:tc>
          <w:tcPr>
            <w:tcW w:w="823"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660" w:hRule="atLeast"/>
          <w:jc w:val="center"/>
        </w:trPr>
        <w:tc>
          <w:tcPr>
            <w:tcW w:w="802"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p>
        </w:tc>
        <w:tc>
          <w:tcPr>
            <w:tcW w:w="129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项目实施方案</w:t>
            </w:r>
          </w:p>
        </w:tc>
        <w:tc>
          <w:tcPr>
            <w:tcW w:w="742"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20</w:t>
            </w:r>
          </w:p>
        </w:tc>
        <w:tc>
          <w:tcPr>
            <w:tcW w:w="558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根据投标人提供的项目实施方案（包括但不限于服务方案、工作进度安排、实施措施、人员投入、安全保障措施等）进行综合评分：</w:t>
            </w:r>
          </w:p>
          <w:p>
            <w:pPr>
              <w:widowControl/>
              <w:adjustRightInd w:val="0"/>
              <w:snapToGrid w:val="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1）实施方案详细、合理，工作进度安排周密、实施措施有力，人员投入科学合理，可操作性强的计</w:t>
            </w:r>
            <w:r>
              <w:rPr>
                <w:rFonts w:hint="eastAsia" w:ascii="宋体" w:hAnsi="宋体" w:cs="宋体"/>
                <w:color w:val="auto"/>
                <w:kern w:val="0"/>
                <w:sz w:val="24"/>
                <w:szCs w:val="24"/>
                <w:highlight w:val="none"/>
                <w:lang w:val="en-US" w:eastAsia="zh-CN"/>
              </w:rPr>
              <w:t>20</w:t>
            </w:r>
            <w:r>
              <w:rPr>
                <w:rFonts w:hint="eastAsia" w:ascii="宋体" w:hAnsi="宋体" w:eastAsia="宋体" w:cs="宋体"/>
                <w:color w:val="auto"/>
                <w:kern w:val="0"/>
                <w:sz w:val="24"/>
                <w:szCs w:val="24"/>
                <w:highlight w:val="none"/>
              </w:rPr>
              <w:t>分；</w:t>
            </w:r>
          </w:p>
          <w:p>
            <w:pPr>
              <w:widowControl/>
              <w:adjustRightInd w:val="0"/>
              <w:snapToGrid w:val="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2）实施方案较详细、合理，工作进度安排较周密、实施措施较有力，人员投入较合理，可操作性较强的计</w:t>
            </w:r>
            <w:r>
              <w:rPr>
                <w:rFonts w:hint="eastAsia" w:ascii="宋体" w:hAnsi="宋体" w:cs="宋体"/>
                <w:color w:val="auto"/>
                <w:kern w:val="0"/>
                <w:sz w:val="24"/>
                <w:szCs w:val="24"/>
                <w:highlight w:val="none"/>
                <w:lang w:val="en-US" w:eastAsia="zh-CN"/>
              </w:rPr>
              <w:t>15</w:t>
            </w:r>
            <w:r>
              <w:rPr>
                <w:rFonts w:hint="eastAsia" w:ascii="宋体" w:hAnsi="宋体" w:eastAsia="宋体" w:cs="宋体"/>
                <w:color w:val="auto"/>
                <w:kern w:val="0"/>
                <w:sz w:val="24"/>
                <w:szCs w:val="24"/>
                <w:highlight w:val="none"/>
              </w:rPr>
              <w:t>分；</w:t>
            </w:r>
          </w:p>
          <w:p>
            <w:pPr>
              <w:widowControl/>
              <w:adjustRightInd w:val="0"/>
              <w:snapToGrid w:val="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3）实施方案一般、工作进度安排一般、实施措施一般，人员投入欠合理的计</w:t>
            </w:r>
            <w:r>
              <w:rPr>
                <w:rFonts w:hint="eastAsia" w:ascii="宋体" w:hAnsi="宋体" w:cs="宋体"/>
                <w:color w:val="auto"/>
                <w:kern w:val="0"/>
                <w:sz w:val="24"/>
                <w:szCs w:val="24"/>
                <w:highlight w:val="none"/>
                <w:lang w:val="en-US" w:eastAsia="zh-CN"/>
              </w:rPr>
              <w:t>10</w:t>
            </w:r>
            <w:r>
              <w:rPr>
                <w:rFonts w:hint="eastAsia" w:ascii="宋体" w:hAnsi="宋体" w:eastAsia="宋体" w:cs="宋体"/>
                <w:color w:val="auto"/>
                <w:kern w:val="0"/>
                <w:sz w:val="24"/>
                <w:szCs w:val="24"/>
                <w:highlight w:val="none"/>
              </w:rPr>
              <w:t>分；</w:t>
            </w:r>
          </w:p>
          <w:p>
            <w:pPr>
              <w:widowControl/>
              <w:adjustRightInd w:val="0"/>
              <w:snapToGrid w:val="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4、此项未提供或不合理的计0分。</w:t>
            </w:r>
          </w:p>
        </w:tc>
        <w:tc>
          <w:tcPr>
            <w:tcW w:w="823"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1345" w:hRule="atLeast"/>
          <w:jc w:val="center"/>
        </w:trPr>
        <w:tc>
          <w:tcPr>
            <w:tcW w:w="802"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p>
        </w:tc>
        <w:tc>
          <w:tcPr>
            <w:tcW w:w="129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质量保障措施 </w:t>
            </w:r>
          </w:p>
        </w:tc>
        <w:tc>
          <w:tcPr>
            <w:tcW w:w="742"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15</w:t>
            </w:r>
          </w:p>
        </w:tc>
        <w:tc>
          <w:tcPr>
            <w:tcW w:w="5581" w:type="dxa"/>
            <w:tcBorders>
              <w:top w:val="single" w:color="auto" w:sz="4" w:space="0"/>
              <w:left w:val="single" w:color="auto" w:sz="4" w:space="0"/>
              <w:bottom w:val="single" w:color="auto" w:sz="4" w:space="0"/>
              <w:right w:val="single" w:color="auto" w:sz="4" w:space="0"/>
            </w:tcBorders>
            <w:noWrap w:val="0"/>
            <w:vAlign w:val="center"/>
          </w:tcPr>
          <w:p>
            <w:pPr>
              <w:widowControl/>
              <w:tabs>
                <w:tab w:val="left" w:pos="312"/>
              </w:tabs>
              <w:adjustRightInd w:val="0"/>
              <w:snapToGrid w:val="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根据投标人提供的</w:t>
            </w:r>
            <w:r>
              <w:rPr>
                <w:rFonts w:hint="eastAsia" w:ascii="宋体" w:hAnsi="宋体" w:cs="宋体"/>
                <w:color w:val="auto"/>
                <w:kern w:val="0"/>
                <w:sz w:val="24"/>
                <w:szCs w:val="24"/>
                <w:highlight w:val="none"/>
                <w:lang w:val="en-US" w:eastAsia="zh-CN"/>
              </w:rPr>
              <w:t>重要活动文化用品制作及设备租赁</w:t>
            </w:r>
            <w:r>
              <w:rPr>
                <w:rFonts w:hint="eastAsia" w:ascii="宋体" w:hAnsi="宋体" w:eastAsia="宋体" w:cs="宋体"/>
                <w:color w:val="auto"/>
                <w:kern w:val="0"/>
                <w:sz w:val="24"/>
                <w:szCs w:val="24"/>
                <w:highlight w:val="none"/>
              </w:rPr>
              <w:t>质量保障措施（包括但不限于质量目标、质量管理措施、质量控制流程、送货安装保障措施）进行综合评分：</w:t>
            </w:r>
          </w:p>
          <w:p>
            <w:pPr>
              <w:widowControl/>
              <w:tabs>
                <w:tab w:val="left" w:pos="312"/>
              </w:tabs>
              <w:adjustRightInd w:val="0"/>
              <w:snapToGrid w:val="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r>
              <w:rPr>
                <w:rFonts w:hint="eastAsia" w:ascii="宋体" w:hAnsi="宋体" w:cs="宋体"/>
                <w:color w:val="auto"/>
                <w:kern w:val="0"/>
                <w:sz w:val="24"/>
                <w:szCs w:val="24"/>
                <w:highlight w:val="none"/>
                <w:lang w:val="en-US" w:eastAsia="zh-CN"/>
              </w:rPr>
              <w:t>重要活动文化用品</w:t>
            </w:r>
            <w:r>
              <w:rPr>
                <w:rFonts w:hint="eastAsia" w:ascii="宋体" w:hAnsi="宋体" w:eastAsia="宋体" w:cs="宋体"/>
                <w:color w:val="auto"/>
                <w:kern w:val="0"/>
                <w:sz w:val="24"/>
                <w:szCs w:val="24"/>
                <w:highlight w:val="none"/>
              </w:rPr>
              <w:t>质量和</w:t>
            </w:r>
            <w:r>
              <w:rPr>
                <w:rFonts w:hint="eastAsia" w:ascii="宋体" w:hAnsi="宋体" w:cs="宋体"/>
                <w:color w:val="auto"/>
                <w:kern w:val="0"/>
                <w:sz w:val="24"/>
                <w:szCs w:val="24"/>
                <w:highlight w:val="none"/>
                <w:lang w:val="en-US" w:eastAsia="zh-CN"/>
              </w:rPr>
              <w:t>设备</w:t>
            </w:r>
            <w:r>
              <w:rPr>
                <w:rFonts w:hint="eastAsia" w:ascii="宋体" w:hAnsi="宋体" w:eastAsia="宋体" w:cs="宋体"/>
                <w:color w:val="auto"/>
                <w:kern w:val="0"/>
                <w:sz w:val="24"/>
                <w:szCs w:val="24"/>
                <w:highlight w:val="none"/>
              </w:rPr>
              <w:t>质量保障措施详尽、明晰，科学合理、有效，针对性强的，计</w:t>
            </w:r>
            <w:r>
              <w:rPr>
                <w:rFonts w:hint="eastAsia" w:ascii="宋体" w:hAnsi="宋体" w:eastAsia="宋体" w:cs="宋体"/>
                <w:color w:val="auto"/>
                <w:kern w:val="0"/>
                <w:sz w:val="24"/>
                <w:szCs w:val="24"/>
                <w:highlight w:val="none"/>
                <w:lang w:val="en-US" w:eastAsia="zh-CN"/>
              </w:rPr>
              <w:t>15</w:t>
            </w:r>
            <w:r>
              <w:rPr>
                <w:rFonts w:hint="eastAsia" w:ascii="宋体" w:hAnsi="宋体" w:eastAsia="宋体" w:cs="宋体"/>
                <w:color w:val="auto"/>
                <w:kern w:val="0"/>
                <w:sz w:val="24"/>
                <w:szCs w:val="24"/>
                <w:highlight w:val="none"/>
              </w:rPr>
              <w:t>分；</w:t>
            </w:r>
          </w:p>
          <w:p>
            <w:pPr>
              <w:widowControl/>
              <w:tabs>
                <w:tab w:val="left" w:pos="312"/>
              </w:tabs>
              <w:adjustRightInd w:val="0"/>
              <w:snapToGrid w:val="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cs="宋体"/>
                <w:color w:val="auto"/>
                <w:kern w:val="0"/>
                <w:sz w:val="24"/>
                <w:szCs w:val="24"/>
                <w:highlight w:val="none"/>
                <w:lang w:val="en-US" w:eastAsia="zh-CN"/>
              </w:rPr>
              <w:t>重要活动文化用品</w:t>
            </w:r>
            <w:r>
              <w:rPr>
                <w:rFonts w:hint="eastAsia" w:ascii="宋体" w:hAnsi="宋体" w:eastAsia="宋体" w:cs="宋体"/>
                <w:color w:val="auto"/>
                <w:kern w:val="0"/>
                <w:sz w:val="24"/>
                <w:szCs w:val="24"/>
                <w:highlight w:val="none"/>
              </w:rPr>
              <w:t>质量和</w:t>
            </w:r>
            <w:r>
              <w:rPr>
                <w:rFonts w:hint="eastAsia" w:ascii="宋体" w:hAnsi="宋体" w:cs="宋体"/>
                <w:color w:val="auto"/>
                <w:kern w:val="0"/>
                <w:sz w:val="24"/>
                <w:szCs w:val="24"/>
                <w:highlight w:val="none"/>
                <w:lang w:val="en-US" w:eastAsia="zh-CN"/>
              </w:rPr>
              <w:t>设备</w:t>
            </w:r>
            <w:r>
              <w:rPr>
                <w:rFonts w:hint="eastAsia" w:ascii="宋体" w:hAnsi="宋体" w:eastAsia="宋体" w:cs="宋体"/>
                <w:color w:val="auto"/>
                <w:kern w:val="0"/>
                <w:sz w:val="24"/>
                <w:szCs w:val="24"/>
                <w:highlight w:val="none"/>
              </w:rPr>
              <w:t>质量保障措施较详尽、明晰，较合理，针对性较强的，计</w:t>
            </w:r>
            <w:r>
              <w:rPr>
                <w:rFonts w:hint="eastAsia" w:ascii="宋体" w:hAnsi="宋体" w:eastAsia="宋体" w:cs="宋体"/>
                <w:color w:val="auto"/>
                <w:kern w:val="0"/>
                <w:sz w:val="24"/>
                <w:szCs w:val="24"/>
                <w:highlight w:val="none"/>
                <w:lang w:val="en-US" w:eastAsia="zh-CN"/>
              </w:rPr>
              <w:t>10</w:t>
            </w:r>
            <w:r>
              <w:rPr>
                <w:rFonts w:hint="eastAsia" w:ascii="宋体" w:hAnsi="宋体" w:eastAsia="宋体" w:cs="宋体"/>
                <w:color w:val="auto"/>
                <w:kern w:val="0"/>
                <w:sz w:val="24"/>
                <w:szCs w:val="24"/>
                <w:highlight w:val="none"/>
              </w:rPr>
              <w:t>分；</w:t>
            </w:r>
          </w:p>
          <w:p>
            <w:pPr>
              <w:widowControl/>
              <w:tabs>
                <w:tab w:val="left" w:pos="312"/>
              </w:tabs>
              <w:adjustRightInd w:val="0"/>
              <w:snapToGrid w:val="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r>
              <w:rPr>
                <w:rFonts w:hint="eastAsia" w:ascii="宋体" w:hAnsi="宋体" w:cs="宋体"/>
                <w:color w:val="auto"/>
                <w:kern w:val="0"/>
                <w:sz w:val="24"/>
                <w:szCs w:val="24"/>
                <w:highlight w:val="none"/>
                <w:lang w:val="en-US" w:eastAsia="zh-CN"/>
              </w:rPr>
              <w:t>重要活动文化用品</w:t>
            </w:r>
            <w:r>
              <w:rPr>
                <w:rFonts w:hint="eastAsia" w:ascii="宋体" w:hAnsi="宋体" w:eastAsia="宋体" w:cs="宋体"/>
                <w:color w:val="auto"/>
                <w:kern w:val="0"/>
                <w:sz w:val="24"/>
                <w:szCs w:val="24"/>
                <w:highlight w:val="none"/>
              </w:rPr>
              <w:t>质量和</w:t>
            </w:r>
            <w:r>
              <w:rPr>
                <w:rFonts w:hint="eastAsia" w:ascii="宋体" w:hAnsi="宋体" w:cs="宋体"/>
                <w:color w:val="auto"/>
                <w:kern w:val="0"/>
                <w:sz w:val="24"/>
                <w:szCs w:val="24"/>
                <w:highlight w:val="none"/>
                <w:lang w:val="en-US" w:eastAsia="zh-CN"/>
              </w:rPr>
              <w:t>设备</w:t>
            </w:r>
            <w:r>
              <w:rPr>
                <w:rFonts w:hint="eastAsia" w:ascii="宋体" w:hAnsi="宋体" w:eastAsia="宋体" w:cs="宋体"/>
                <w:color w:val="auto"/>
                <w:kern w:val="0"/>
                <w:sz w:val="24"/>
                <w:szCs w:val="24"/>
                <w:highlight w:val="none"/>
              </w:rPr>
              <w:t>质量保障措施欠详尽、明晰，合理性、有效性、针对性一般的，计</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分；</w:t>
            </w:r>
          </w:p>
          <w:p>
            <w:pPr>
              <w:widowControl/>
              <w:tabs>
                <w:tab w:val="left" w:pos="312"/>
              </w:tabs>
              <w:adjustRightInd w:val="0"/>
              <w:snapToGrid w:val="0"/>
              <w:jc w:val="left"/>
              <w:rPr>
                <w:rFonts w:hint="eastAsia" w:ascii="宋体" w:hAnsi="宋体" w:eastAsia="宋体" w:cs="宋体"/>
                <w:b/>
                <w:bCs/>
                <w:color w:val="auto"/>
                <w:kern w:val="0"/>
                <w:sz w:val="24"/>
                <w:szCs w:val="24"/>
                <w:highlight w:val="none"/>
              </w:rPr>
            </w:pPr>
            <w:r>
              <w:rPr>
                <w:rFonts w:hint="eastAsia" w:ascii="宋体" w:hAnsi="宋体" w:eastAsia="宋体" w:cs="宋体"/>
                <w:color w:val="auto"/>
                <w:kern w:val="0"/>
                <w:sz w:val="24"/>
                <w:szCs w:val="24"/>
                <w:highlight w:val="none"/>
              </w:rPr>
              <w:t>4）此项未提供或不合理的计0分。</w:t>
            </w:r>
          </w:p>
        </w:tc>
        <w:tc>
          <w:tcPr>
            <w:tcW w:w="823"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1029" w:hRule="atLeast"/>
          <w:jc w:val="center"/>
        </w:trPr>
        <w:tc>
          <w:tcPr>
            <w:tcW w:w="802"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w:t>
            </w:r>
          </w:p>
        </w:tc>
        <w:tc>
          <w:tcPr>
            <w:tcW w:w="129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应急服务预案</w:t>
            </w:r>
          </w:p>
        </w:tc>
        <w:tc>
          <w:tcPr>
            <w:tcW w:w="742"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1</w:t>
            </w:r>
            <w:r>
              <w:rPr>
                <w:rFonts w:hint="eastAsia" w:ascii="宋体" w:hAnsi="宋体" w:cs="宋体"/>
                <w:color w:val="auto"/>
                <w:kern w:val="0"/>
                <w:sz w:val="24"/>
                <w:szCs w:val="24"/>
                <w:highlight w:val="none"/>
                <w:lang w:val="en-US" w:eastAsia="zh-CN"/>
              </w:rPr>
              <w:t>0</w:t>
            </w:r>
          </w:p>
        </w:tc>
        <w:tc>
          <w:tcPr>
            <w:tcW w:w="5581" w:type="dxa"/>
            <w:tcBorders>
              <w:top w:val="single" w:color="auto" w:sz="4" w:space="0"/>
              <w:left w:val="single" w:color="auto" w:sz="4" w:space="0"/>
              <w:bottom w:val="single" w:color="auto" w:sz="4" w:space="0"/>
              <w:right w:val="single" w:color="auto" w:sz="4" w:space="0"/>
            </w:tcBorders>
            <w:noWrap w:val="0"/>
            <w:vAlign w:val="center"/>
          </w:tcPr>
          <w:p>
            <w:pPr>
              <w:widowControl/>
              <w:numPr>
                <w:ilvl w:val="0"/>
                <w:numId w:val="0"/>
              </w:numPr>
              <w:adjustRightInd w:val="0"/>
              <w:snapToGrid w:val="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根据投标人提供的因</w:t>
            </w:r>
            <w:r>
              <w:rPr>
                <w:rFonts w:hint="eastAsia" w:ascii="宋体" w:hAnsi="宋体" w:eastAsia="宋体" w:cs="宋体"/>
                <w:color w:val="auto"/>
                <w:kern w:val="0"/>
                <w:sz w:val="24"/>
                <w:szCs w:val="24"/>
                <w:highlight w:val="none"/>
                <w:lang w:eastAsia="zh-CN"/>
              </w:rPr>
              <w:t>学院</w:t>
            </w:r>
            <w:r>
              <w:rPr>
                <w:rFonts w:hint="eastAsia" w:ascii="宋体" w:hAnsi="宋体" w:eastAsia="宋体" w:cs="宋体"/>
                <w:color w:val="auto"/>
                <w:kern w:val="0"/>
                <w:sz w:val="24"/>
                <w:szCs w:val="24"/>
                <w:highlight w:val="none"/>
              </w:rPr>
              <w:t>偶然突发性</w:t>
            </w:r>
            <w:r>
              <w:rPr>
                <w:rFonts w:hint="eastAsia" w:ascii="宋体" w:hAnsi="宋体" w:cs="宋体"/>
                <w:color w:val="auto"/>
                <w:kern w:val="0"/>
                <w:sz w:val="24"/>
                <w:szCs w:val="24"/>
                <w:highlight w:val="none"/>
                <w:lang w:val="en-US" w:eastAsia="zh-CN"/>
              </w:rPr>
              <w:t>活动</w:t>
            </w:r>
            <w:r>
              <w:rPr>
                <w:rFonts w:hint="eastAsia" w:ascii="宋体" w:hAnsi="宋体" w:eastAsia="宋体" w:cs="宋体"/>
                <w:color w:val="auto"/>
                <w:kern w:val="0"/>
                <w:sz w:val="24"/>
                <w:szCs w:val="24"/>
                <w:highlight w:val="none"/>
              </w:rPr>
              <w:t>工作需求或出现突发事件或其他紧急情况的应急服务预案，从操作性、时效性、响应情况等方面进行综合评分：</w:t>
            </w:r>
          </w:p>
          <w:p>
            <w:pPr>
              <w:widowControl/>
              <w:numPr>
                <w:ilvl w:val="0"/>
                <w:numId w:val="0"/>
              </w:numPr>
              <w:adjustRightInd w:val="0"/>
              <w:snapToGrid w:val="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1）预案内容详细完善、操作性强，有针对性，能够按时按量完成制作和安装工作，积极响应采购人的紧急采购需求，处理方法合理的计</w:t>
            </w:r>
            <w:r>
              <w:rPr>
                <w:rFonts w:hint="eastAsia" w:ascii="宋体" w:hAnsi="宋体" w:eastAsia="宋体" w:cs="宋体"/>
                <w:color w:val="auto"/>
                <w:kern w:val="0"/>
                <w:sz w:val="24"/>
                <w:szCs w:val="24"/>
                <w:highlight w:val="none"/>
                <w:lang w:val="en-US" w:eastAsia="zh-CN"/>
              </w:rPr>
              <w:t>1</w:t>
            </w:r>
            <w:r>
              <w:rPr>
                <w:rFonts w:hint="eastAsia" w:ascii="宋体" w:hAnsi="宋体" w:cs="宋体"/>
                <w:color w:val="auto"/>
                <w:kern w:val="0"/>
                <w:sz w:val="24"/>
                <w:szCs w:val="24"/>
                <w:highlight w:val="none"/>
                <w:lang w:val="en-US" w:eastAsia="zh-CN"/>
              </w:rPr>
              <w:t>0</w:t>
            </w:r>
            <w:r>
              <w:rPr>
                <w:rFonts w:hint="eastAsia" w:ascii="宋体" w:hAnsi="宋体" w:eastAsia="宋体" w:cs="宋体"/>
                <w:color w:val="auto"/>
                <w:kern w:val="0"/>
                <w:sz w:val="24"/>
                <w:szCs w:val="24"/>
                <w:highlight w:val="none"/>
              </w:rPr>
              <w:t>分。</w:t>
            </w:r>
          </w:p>
          <w:p>
            <w:pPr>
              <w:widowControl/>
              <w:numPr>
                <w:ilvl w:val="0"/>
                <w:numId w:val="0"/>
              </w:numPr>
              <w:adjustRightInd w:val="0"/>
              <w:snapToGrid w:val="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2）预案内容较详细完善、操作性较强，具有一定的针对性，能够按时按量完成制作和安装工作，能够满足采购人的应急需求，处理方法较合理的计</w:t>
            </w:r>
            <w:r>
              <w:rPr>
                <w:rFonts w:hint="eastAsia" w:ascii="宋体" w:hAnsi="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分。</w:t>
            </w:r>
          </w:p>
          <w:p>
            <w:pPr>
              <w:widowControl/>
              <w:numPr>
                <w:ilvl w:val="0"/>
                <w:numId w:val="0"/>
              </w:numPr>
              <w:adjustRightInd w:val="0"/>
              <w:snapToGrid w:val="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3）预案内容简单、操作性一般，不能完全满足采购人的应急需求，处理方法欠合理的计</w:t>
            </w: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分。</w:t>
            </w:r>
          </w:p>
          <w:p>
            <w:pPr>
              <w:widowControl/>
              <w:numPr>
                <w:ilvl w:val="0"/>
                <w:numId w:val="0"/>
              </w:numPr>
              <w:adjustRightInd w:val="0"/>
              <w:snapToGrid w:val="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4）此项未提供或不合理的计0分。</w:t>
            </w:r>
          </w:p>
        </w:tc>
        <w:tc>
          <w:tcPr>
            <w:tcW w:w="823"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822" w:hRule="atLeast"/>
          <w:jc w:val="center"/>
        </w:trPr>
        <w:tc>
          <w:tcPr>
            <w:tcW w:w="802" w:type="dxa"/>
            <w:tcBorders>
              <w:top w:val="nil"/>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w:t>
            </w:r>
          </w:p>
        </w:tc>
        <w:tc>
          <w:tcPr>
            <w:tcW w:w="1295" w:type="dxa"/>
            <w:tcBorders>
              <w:top w:val="nil"/>
              <w:left w:val="nil"/>
              <w:bottom w:val="single" w:color="auto" w:sz="4" w:space="0"/>
              <w:right w:val="single" w:color="auto" w:sz="4" w:space="0"/>
            </w:tcBorders>
            <w:noWrap w:val="0"/>
            <w:vAlign w:val="center"/>
          </w:tcPr>
          <w:p>
            <w:pPr>
              <w:widowControl/>
              <w:adjustRightInd w:val="0"/>
              <w:snapToGrid w:val="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实施经验(成功案例)</w:t>
            </w:r>
          </w:p>
        </w:tc>
        <w:tc>
          <w:tcPr>
            <w:tcW w:w="742" w:type="dxa"/>
            <w:tcBorders>
              <w:top w:val="nil"/>
              <w:left w:val="nil"/>
              <w:bottom w:val="single" w:color="auto" w:sz="4" w:space="0"/>
              <w:right w:val="single" w:color="auto" w:sz="4" w:space="0"/>
            </w:tcBorders>
            <w:noWrap w:val="0"/>
            <w:vAlign w:val="center"/>
          </w:tcPr>
          <w:p>
            <w:pPr>
              <w:widowControl/>
              <w:adjustRightInd w:val="0"/>
              <w:snapToGrid w:val="0"/>
              <w:jc w:val="center"/>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1</w:t>
            </w:r>
            <w:r>
              <w:rPr>
                <w:rFonts w:hint="eastAsia" w:ascii="宋体" w:hAnsi="宋体" w:cs="宋体"/>
                <w:color w:val="auto"/>
                <w:kern w:val="0"/>
                <w:sz w:val="24"/>
                <w:szCs w:val="24"/>
                <w:highlight w:val="none"/>
                <w:lang w:val="en-US" w:eastAsia="zh-CN"/>
              </w:rPr>
              <w:t>0</w:t>
            </w:r>
          </w:p>
        </w:tc>
        <w:tc>
          <w:tcPr>
            <w:tcW w:w="5581" w:type="dxa"/>
            <w:tcBorders>
              <w:top w:val="nil"/>
              <w:left w:val="nil"/>
              <w:bottom w:val="single" w:color="auto" w:sz="4" w:space="0"/>
              <w:right w:val="single" w:color="auto" w:sz="4" w:space="0"/>
            </w:tcBorders>
            <w:noWrap w:val="0"/>
            <w:vAlign w:val="center"/>
          </w:tcPr>
          <w:p>
            <w:pPr>
              <w:widowControl/>
              <w:numPr>
                <w:ilvl w:val="0"/>
                <w:numId w:val="0"/>
              </w:numPr>
              <w:adjustRightInd w:val="0"/>
              <w:snapToGrid w:val="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投标人</w:t>
            </w:r>
            <w:r>
              <w:rPr>
                <w:rFonts w:hint="eastAsia" w:ascii="宋体" w:hAnsi="宋体" w:eastAsia="宋体" w:cs="宋体"/>
                <w:sz w:val="24"/>
                <w:szCs w:val="24"/>
              </w:rPr>
              <w:t>近3年</w:t>
            </w:r>
            <w:bookmarkStart w:id="13" w:name="_GoBack"/>
            <w:bookmarkEnd w:id="13"/>
            <w:r>
              <w:rPr>
                <w:rFonts w:hint="eastAsia" w:ascii="宋体" w:hAnsi="宋体" w:eastAsia="宋体" w:cs="宋体"/>
                <w:color w:val="auto"/>
                <w:kern w:val="0"/>
                <w:sz w:val="24"/>
                <w:szCs w:val="24"/>
                <w:highlight w:val="none"/>
                <w:lang w:val="en-US" w:eastAsia="zh-CN"/>
              </w:rPr>
              <w:t>具有类似</w:t>
            </w:r>
            <w:r>
              <w:rPr>
                <w:rFonts w:hint="eastAsia" w:ascii="宋体" w:hAnsi="宋体" w:cs="宋体"/>
                <w:color w:val="auto"/>
                <w:kern w:val="0"/>
                <w:sz w:val="24"/>
                <w:szCs w:val="24"/>
                <w:highlight w:val="none"/>
                <w:lang w:val="en-US" w:eastAsia="zh-CN"/>
              </w:rPr>
              <w:t>活动</w:t>
            </w:r>
            <w:r>
              <w:rPr>
                <w:rFonts w:hint="eastAsia" w:ascii="宋体" w:hAnsi="宋体" w:eastAsia="宋体" w:cs="宋体"/>
                <w:color w:val="auto"/>
                <w:kern w:val="0"/>
                <w:sz w:val="24"/>
                <w:szCs w:val="24"/>
                <w:highlight w:val="none"/>
                <w:lang w:val="en-US" w:eastAsia="zh-CN"/>
              </w:rPr>
              <w:t>项目实施经验，每提供一个项目成功案例的计</w:t>
            </w:r>
            <w:r>
              <w:rPr>
                <w:rFonts w:hint="eastAsia" w:ascii="宋体" w:hAnsi="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lang w:val="en-US" w:eastAsia="zh-CN"/>
              </w:rPr>
              <w:t>分，本项最高计1</w:t>
            </w:r>
            <w:r>
              <w:rPr>
                <w:rFonts w:hint="eastAsia" w:ascii="宋体" w:hAnsi="宋体" w:cs="宋体"/>
                <w:color w:val="auto"/>
                <w:kern w:val="0"/>
                <w:sz w:val="24"/>
                <w:szCs w:val="24"/>
                <w:highlight w:val="none"/>
                <w:lang w:val="en-US" w:eastAsia="zh-CN"/>
              </w:rPr>
              <w:t>0</w:t>
            </w:r>
            <w:r>
              <w:rPr>
                <w:rFonts w:hint="eastAsia" w:ascii="宋体" w:hAnsi="宋体" w:eastAsia="宋体" w:cs="宋体"/>
                <w:color w:val="auto"/>
                <w:kern w:val="0"/>
                <w:sz w:val="24"/>
                <w:szCs w:val="24"/>
                <w:highlight w:val="none"/>
                <w:lang w:val="en-US" w:eastAsia="zh-CN"/>
              </w:rPr>
              <w:t>分。</w:t>
            </w:r>
          </w:p>
          <w:p>
            <w:pPr>
              <w:widowControl/>
              <w:numPr>
                <w:ilvl w:val="0"/>
                <w:numId w:val="0"/>
              </w:numPr>
              <w:adjustRightInd w:val="0"/>
              <w:snapToGrid w:val="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计分说明：投标人须在投标文件中提供</w:t>
            </w:r>
            <w:r>
              <w:rPr>
                <w:rFonts w:hint="eastAsia" w:ascii="宋体" w:hAnsi="宋体" w:cs="宋体"/>
                <w:color w:val="auto"/>
                <w:kern w:val="0"/>
                <w:sz w:val="24"/>
                <w:szCs w:val="24"/>
                <w:highlight w:val="none"/>
                <w:lang w:val="en-US" w:eastAsia="zh-CN"/>
              </w:rPr>
              <w:t>不同单位</w:t>
            </w:r>
            <w:r>
              <w:rPr>
                <w:rFonts w:hint="eastAsia" w:ascii="宋体" w:hAnsi="宋体" w:eastAsia="宋体" w:cs="宋体"/>
                <w:color w:val="auto"/>
                <w:kern w:val="0"/>
                <w:sz w:val="24"/>
                <w:szCs w:val="24"/>
                <w:highlight w:val="none"/>
                <w:lang w:val="en-US" w:eastAsia="zh-CN"/>
              </w:rPr>
              <w:t>合同文本复印件</w:t>
            </w:r>
            <w:r>
              <w:rPr>
                <w:rFonts w:hint="eastAsia" w:ascii="宋体" w:hAnsi="宋体" w:cs="宋体"/>
                <w:color w:val="auto"/>
                <w:kern w:val="0"/>
                <w:sz w:val="24"/>
                <w:szCs w:val="24"/>
                <w:highlight w:val="none"/>
                <w:lang w:val="en-US" w:eastAsia="zh-CN"/>
              </w:rPr>
              <w:t>以及活动现场照片</w:t>
            </w:r>
            <w:r>
              <w:rPr>
                <w:rFonts w:hint="eastAsia" w:ascii="宋体" w:hAnsi="宋体" w:eastAsia="宋体" w:cs="宋体"/>
                <w:color w:val="auto"/>
                <w:kern w:val="0"/>
                <w:sz w:val="24"/>
                <w:szCs w:val="24"/>
                <w:highlight w:val="none"/>
                <w:lang w:val="en-US" w:eastAsia="zh-CN"/>
              </w:rPr>
              <w:t>,否则应计分项计0分。</w:t>
            </w:r>
          </w:p>
        </w:tc>
        <w:tc>
          <w:tcPr>
            <w:tcW w:w="823"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660" w:hRule="atLeast"/>
          <w:jc w:val="center"/>
        </w:trPr>
        <w:tc>
          <w:tcPr>
            <w:tcW w:w="802"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w:t>
            </w:r>
          </w:p>
        </w:tc>
        <w:tc>
          <w:tcPr>
            <w:tcW w:w="129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售后维护服务</w:t>
            </w:r>
          </w:p>
        </w:tc>
        <w:tc>
          <w:tcPr>
            <w:tcW w:w="742"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10</w:t>
            </w:r>
          </w:p>
        </w:tc>
        <w:tc>
          <w:tcPr>
            <w:tcW w:w="5581" w:type="dxa"/>
            <w:tcBorders>
              <w:top w:val="single" w:color="auto" w:sz="4" w:space="0"/>
              <w:left w:val="single" w:color="auto" w:sz="4" w:space="0"/>
              <w:bottom w:val="single" w:color="auto" w:sz="4" w:space="0"/>
              <w:right w:val="single" w:color="auto" w:sz="4" w:space="0"/>
            </w:tcBorders>
            <w:noWrap w:val="0"/>
            <w:vAlign w:val="center"/>
          </w:tcPr>
          <w:p>
            <w:pPr>
              <w:widowControl/>
              <w:numPr>
                <w:ilvl w:val="0"/>
                <w:numId w:val="0"/>
              </w:numPr>
              <w:adjustRightInd w:val="0"/>
              <w:snapToGrid w:val="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根据投标人提供的售后维护服务方案（包括但不限于：售后服务承诺、售后服务体系、售后服务团队、维护保养措施、响应时间、应急维修措施等）进行综合评分：</w:t>
            </w:r>
          </w:p>
          <w:p>
            <w:pPr>
              <w:widowControl/>
              <w:numPr>
                <w:ilvl w:val="0"/>
                <w:numId w:val="0"/>
              </w:numPr>
              <w:adjustRightInd w:val="0"/>
              <w:snapToGrid w:val="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1）售后维护服务方案详细、科学合理、操作性及针对性强的计10分；</w:t>
            </w:r>
          </w:p>
          <w:p>
            <w:pPr>
              <w:widowControl/>
              <w:numPr>
                <w:ilvl w:val="0"/>
                <w:numId w:val="0"/>
              </w:numPr>
              <w:adjustRightInd w:val="0"/>
              <w:snapToGrid w:val="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2）售后维护服务方案较详细、较合理、操作性及针对性较强的计7分；</w:t>
            </w:r>
          </w:p>
          <w:p>
            <w:pPr>
              <w:widowControl/>
              <w:numPr>
                <w:ilvl w:val="0"/>
                <w:numId w:val="0"/>
              </w:numPr>
              <w:adjustRightInd w:val="0"/>
              <w:snapToGrid w:val="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3）售后维护服务方案简单、欠合理、操作性及针对性一般的计3分；</w:t>
            </w:r>
          </w:p>
          <w:p>
            <w:pPr>
              <w:widowControl/>
              <w:numPr>
                <w:ilvl w:val="0"/>
                <w:numId w:val="0"/>
              </w:numPr>
              <w:adjustRightInd w:val="0"/>
              <w:snapToGrid w:val="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4）此项未提供或不合理的计0分。</w:t>
            </w:r>
          </w:p>
        </w:tc>
        <w:tc>
          <w:tcPr>
            <w:tcW w:w="823" w:type="dxa"/>
            <w:tcBorders>
              <w:top w:val="nil"/>
              <w:left w:val="nil"/>
              <w:bottom w:val="nil"/>
              <w:right w:val="single" w:color="auto" w:sz="4" w:space="0"/>
            </w:tcBorders>
            <w:noWrap w:val="0"/>
            <w:vAlign w:val="center"/>
          </w:tcPr>
          <w:p>
            <w:pPr>
              <w:widowControl/>
              <w:jc w:val="center"/>
              <w:rPr>
                <w:rFonts w:hint="eastAsia"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1593" w:hRule="atLeast"/>
          <w:jc w:val="center"/>
        </w:trPr>
        <w:tc>
          <w:tcPr>
            <w:tcW w:w="802"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7</w:t>
            </w:r>
          </w:p>
        </w:tc>
        <w:tc>
          <w:tcPr>
            <w:tcW w:w="129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left"/>
              <w:rPr>
                <w:rFonts w:hint="default"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增值服务</w:t>
            </w:r>
          </w:p>
        </w:tc>
        <w:tc>
          <w:tcPr>
            <w:tcW w:w="742"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5</w:t>
            </w:r>
          </w:p>
        </w:tc>
        <w:tc>
          <w:tcPr>
            <w:tcW w:w="5581" w:type="dxa"/>
            <w:tcBorders>
              <w:top w:val="single" w:color="auto" w:sz="4" w:space="0"/>
              <w:left w:val="single" w:color="auto" w:sz="4" w:space="0"/>
              <w:bottom w:val="single" w:color="auto" w:sz="4" w:space="0"/>
              <w:right w:val="single" w:color="auto" w:sz="4" w:space="0"/>
            </w:tcBorders>
            <w:noWrap w:val="0"/>
            <w:vAlign w:val="center"/>
          </w:tcPr>
          <w:p>
            <w:pPr>
              <w:widowControl/>
              <w:numPr>
                <w:ilvl w:val="0"/>
                <w:numId w:val="0"/>
              </w:numPr>
              <w:adjustRightInd w:val="0"/>
              <w:snapToGrid w:val="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kern w:val="2"/>
                <w:sz w:val="24"/>
                <w:szCs w:val="24"/>
                <w:highlight w:val="none"/>
                <w:lang w:val="en-US" w:eastAsia="zh-CN" w:bidi="ar-SA"/>
              </w:rPr>
              <w:t>根据各供应商根据本项目实际需求提供的合同期内增值服务方案，进行评分，增值服务且方案详细具体、可行性高的，每一项计1分，满分5分；未提供增值服务方案的不得分。</w:t>
            </w:r>
          </w:p>
        </w:tc>
        <w:tc>
          <w:tcPr>
            <w:tcW w:w="823"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4"/>
                <w:szCs w:val="24"/>
                <w:highlight w:val="none"/>
              </w:rPr>
            </w:pPr>
          </w:p>
        </w:tc>
      </w:tr>
      <w:bookmarkEnd w:id="12"/>
    </w:tbl>
    <w:p>
      <w:pPr>
        <w:pStyle w:val="4"/>
      </w:pPr>
    </w:p>
    <w:p>
      <w:pPr>
        <w:spacing w:before="156" w:beforeLines="50" w:line="360" w:lineRule="auto"/>
        <w:ind w:firstLine="480" w:firstLineChars="200"/>
        <w:rPr>
          <w:rFonts w:ascii="宋体" w:hAnsi="宋体" w:cs="宋体"/>
          <w:sz w:val="24"/>
        </w:rPr>
      </w:pPr>
      <w:r>
        <w:rPr>
          <w:rFonts w:hint="eastAsia" w:ascii="宋体" w:hAnsi="宋体" w:cs="宋体"/>
          <w:sz w:val="24"/>
        </w:rPr>
        <w:t>2、有下述情况之一的，评标委员会应当认定其为不合格投标人：</w:t>
      </w:r>
    </w:p>
    <w:p>
      <w:pPr>
        <w:spacing w:line="360" w:lineRule="auto"/>
        <w:ind w:firstLine="480" w:firstLineChars="200"/>
        <w:rPr>
          <w:rFonts w:ascii="宋体" w:hAnsi="宋体" w:cs="宋体"/>
          <w:sz w:val="24"/>
        </w:rPr>
      </w:pPr>
      <w:r>
        <w:rPr>
          <w:rFonts w:hint="eastAsia" w:ascii="宋体" w:hAnsi="宋体" w:cs="宋体"/>
          <w:sz w:val="24"/>
        </w:rPr>
        <w:t>（1）比选投标文件未按招标文件规定要求加盖投标人公章的，或无企业法定代表人或法定代表人授权的代理人签字、盖章的；</w:t>
      </w:r>
    </w:p>
    <w:p>
      <w:pPr>
        <w:spacing w:line="360" w:lineRule="auto"/>
        <w:ind w:firstLine="480" w:firstLineChars="200"/>
        <w:rPr>
          <w:rFonts w:ascii="宋体" w:hAnsi="宋体" w:cs="宋体"/>
          <w:sz w:val="24"/>
        </w:rPr>
      </w:pPr>
      <w:r>
        <w:rPr>
          <w:rFonts w:hint="eastAsia" w:ascii="宋体" w:hAnsi="宋体" w:cs="宋体"/>
          <w:sz w:val="24"/>
        </w:rPr>
        <w:t>（2）授权委托书无投标人公章的，无企业法定代表人或法定代表人授权的代理人签字、盖章的，或授权时间无效的；</w:t>
      </w:r>
    </w:p>
    <w:p>
      <w:pPr>
        <w:spacing w:line="360" w:lineRule="auto"/>
        <w:ind w:firstLine="480" w:firstLineChars="200"/>
        <w:rPr>
          <w:rFonts w:ascii="宋体" w:hAnsi="宋体" w:cs="宋体"/>
          <w:sz w:val="24"/>
        </w:rPr>
      </w:pPr>
      <w:r>
        <w:rPr>
          <w:rFonts w:hint="eastAsia" w:ascii="宋体" w:hAnsi="宋体" w:cs="宋体"/>
          <w:sz w:val="24"/>
        </w:rPr>
        <w:t xml:space="preserve">（3）不具备招标文件中规定资格要求的； </w:t>
      </w:r>
    </w:p>
    <w:p>
      <w:pPr>
        <w:spacing w:line="360" w:lineRule="auto"/>
        <w:ind w:firstLine="480" w:firstLineChars="200"/>
        <w:rPr>
          <w:rFonts w:ascii="宋体" w:hAnsi="宋体" w:cs="宋体"/>
          <w:sz w:val="24"/>
        </w:rPr>
      </w:pPr>
      <w:r>
        <w:rPr>
          <w:rFonts w:hint="eastAsia" w:ascii="宋体" w:hAnsi="宋体" w:cs="宋体"/>
          <w:sz w:val="24"/>
        </w:rPr>
        <w:t>（4）投标人递交两份或多份内容不同的投标文件的；</w:t>
      </w:r>
    </w:p>
    <w:p>
      <w:pPr>
        <w:spacing w:line="360" w:lineRule="auto"/>
        <w:ind w:firstLine="480" w:firstLineChars="200"/>
        <w:rPr>
          <w:rFonts w:ascii="宋体" w:hAnsi="宋体" w:cs="宋体"/>
          <w:sz w:val="24"/>
        </w:rPr>
      </w:pPr>
      <w:r>
        <w:rPr>
          <w:rFonts w:hint="eastAsia" w:ascii="宋体" w:hAnsi="宋体" w:cs="宋体"/>
          <w:sz w:val="24"/>
        </w:rPr>
        <w:t>（5）以行贿手段谋取中标或者不如实提供有关情况、文件、证明等资料及以其他弄虚作假方式投标的；</w:t>
      </w:r>
    </w:p>
    <w:p>
      <w:pPr>
        <w:spacing w:line="360" w:lineRule="auto"/>
        <w:ind w:firstLine="480" w:firstLineChars="200"/>
        <w:rPr>
          <w:rFonts w:ascii="宋体" w:hAnsi="宋体" w:cs="宋体"/>
          <w:sz w:val="24"/>
        </w:rPr>
      </w:pPr>
      <w:r>
        <w:rPr>
          <w:rFonts w:hint="eastAsia" w:ascii="宋体" w:hAnsi="宋体" w:cs="宋体"/>
          <w:sz w:val="24"/>
        </w:rPr>
        <w:t>（6）其它不符合法律法规和招标文件相关形式规定的；</w:t>
      </w:r>
    </w:p>
    <w:p>
      <w:pPr>
        <w:spacing w:line="360" w:lineRule="auto"/>
        <w:ind w:firstLine="480" w:firstLineChars="200"/>
        <w:rPr>
          <w:rFonts w:ascii="宋体" w:hAnsi="宋体" w:cs="宋体"/>
          <w:sz w:val="24"/>
        </w:rPr>
      </w:pPr>
      <w:r>
        <w:rPr>
          <w:rFonts w:hint="eastAsia" w:ascii="宋体" w:hAnsi="宋体" w:cs="宋体"/>
          <w:sz w:val="24"/>
        </w:rPr>
        <w:t>3、评标委员会应当就投标文件中存在不明确或细微偏差的内容，要求投标人予以澄清、说明或者补正。澄清、说明或者补正应在评标结束前以书面方式提交，并不得超出投标文件范围或者改变投标文件的实质性内容，澄清、说明或者补正的书面材料应当由投标人的法定代表人或其授权的委托代理人签字或盖章。评标委员会不得接受投标人主动提出的澄清、说明或补正。</w:t>
      </w:r>
    </w:p>
    <w:p>
      <w:pPr>
        <w:spacing w:line="360" w:lineRule="auto"/>
        <w:ind w:firstLine="480" w:firstLineChars="200"/>
        <w:rPr>
          <w:rFonts w:ascii="宋体" w:hAnsi="宋体" w:cs="宋体"/>
          <w:sz w:val="24"/>
        </w:rPr>
      </w:pPr>
      <w:r>
        <w:rPr>
          <w:rFonts w:hint="eastAsia" w:ascii="宋体" w:hAnsi="宋体" w:cs="宋体"/>
          <w:sz w:val="24"/>
        </w:rPr>
        <w:t>4、经评标委员会评审，所有投标文件均被否决的，招标人应当依法重新招标。</w:t>
      </w:r>
    </w:p>
    <w:p>
      <w:pPr>
        <w:spacing w:line="360" w:lineRule="auto"/>
        <w:ind w:firstLine="482" w:firstLineChars="200"/>
      </w:pPr>
      <w:r>
        <w:rPr>
          <w:rFonts w:hint="eastAsia" w:ascii="宋体" w:hAnsi="宋体" w:cs="宋体"/>
          <w:b/>
          <w:bCs/>
          <w:sz w:val="24"/>
        </w:rPr>
        <w:t>本评标办法仅适用于本项目。</w:t>
      </w:r>
    </w:p>
    <w:p/>
    <w:sectPr>
      <w:headerReference r:id="rId3" w:type="default"/>
      <w:pgSz w:w="11906" w:h="16838"/>
      <w:pgMar w:top="1440" w:right="1134" w:bottom="1440"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wordWrap w:val="0"/>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A9A0A2"/>
    <w:multiLevelType w:val="singleLevel"/>
    <w:tmpl w:val="B8A9A0A2"/>
    <w:lvl w:ilvl="0" w:tentative="0">
      <w:start w:val="1"/>
      <w:numFmt w:val="chineseCounting"/>
      <w:suff w:val="nothing"/>
      <w:lvlText w:val="%1、"/>
      <w:lvlJc w:val="left"/>
      <w:rPr>
        <w:rFonts w:hint="eastAsia"/>
        <w:lang w:val="en-US"/>
      </w:rPr>
    </w:lvl>
  </w:abstractNum>
  <w:abstractNum w:abstractNumId="1">
    <w:nsid w:val="13497AE8"/>
    <w:multiLevelType w:val="multilevel"/>
    <w:tmpl w:val="13497AE8"/>
    <w:lvl w:ilvl="0" w:tentative="0">
      <w:start w:val="2"/>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687E66C0"/>
    <w:multiLevelType w:val="multilevel"/>
    <w:tmpl w:val="687E66C0"/>
    <w:lvl w:ilvl="0" w:tentative="0">
      <w:start w:val="2"/>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6AA1644E"/>
    <w:multiLevelType w:val="multilevel"/>
    <w:tmpl w:val="6AA1644E"/>
    <w:lvl w:ilvl="0" w:tentative="0">
      <w:start w:val="1"/>
      <w:numFmt w:val="decimal"/>
      <w:lvlText w:val="%1、"/>
      <w:lvlJc w:val="left"/>
      <w:pPr>
        <w:ind w:left="928" w:hanging="360"/>
      </w:pPr>
      <w:rPr>
        <w:rFonts w:hint="default"/>
      </w:rPr>
    </w:lvl>
    <w:lvl w:ilvl="1" w:tentative="0">
      <w:start w:val="2"/>
      <w:numFmt w:val="japaneseCounting"/>
      <w:lvlText w:val="%2、"/>
      <w:lvlJc w:val="left"/>
      <w:pPr>
        <w:ind w:left="808" w:hanging="480"/>
      </w:pPr>
      <w:rPr>
        <w:rFonts w:hint="default"/>
      </w:rPr>
    </w:lvl>
    <w:lvl w:ilvl="2" w:tentative="0">
      <w:start w:val="1"/>
      <w:numFmt w:val="lowerRoman"/>
      <w:lvlText w:val="%3."/>
      <w:lvlJc w:val="right"/>
      <w:pPr>
        <w:ind w:left="1828" w:hanging="420"/>
      </w:pPr>
    </w:lvl>
    <w:lvl w:ilvl="3" w:tentative="0">
      <w:start w:val="1"/>
      <w:numFmt w:val="decimal"/>
      <w:lvlText w:val="%4."/>
      <w:lvlJc w:val="left"/>
      <w:pPr>
        <w:ind w:left="2248" w:hanging="420"/>
      </w:pPr>
    </w:lvl>
    <w:lvl w:ilvl="4" w:tentative="0">
      <w:start w:val="1"/>
      <w:numFmt w:val="lowerLetter"/>
      <w:lvlText w:val="%5)"/>
      <w:lvlJc w:val="left"/>
      <w:pPr>
        <w:ind w:left="2668" w:hanging="420"/>
      </w:pPr>
    </w:lvl>
    <w:lvl w:ilvl="5" w:tentative="0">
      <w:start w:val="1"/>
      <w:numFmt w:val="lowerRoman"/>
      <w:lvlText w:val="%6."/>
      <w:lvlJc w:val="right"/>
      <w:pPr>
        <w:ind w:left="3088" w:hanging="420"/>
      </w:pPr>
    </w:lvl>
    <w:lvl w:ilvl="6" w:tentative="0">
      <w:start w:val="1"/>
      <w:numFmt w:val="decimal"/>
      <w:lvlText w:val="%7."/>
      <w:lvlJc w:val="left"/>
      <w:pPr>
        <w:ind w:left="3508" w:hanging="420"/>
      </w:pPr>
    </w:lvl>
    <w:lvl w:ilvl="7" w:tentative="0">
      <w:start w:val="1"/>
      <w:numFmt w:val="lowerLetter"/>
      <w:lvlText w:val="%8)"/>
      <w:lvlJc w:val="left"/>
      <w:pPr>
        <w:ind w:left="3928" w:hanging="420"/>
      </w:pPr>
    </w:lvl>
    <w:lvl w:ilvl="8" w:tentative="0">
      <w:start w:val="1"/>
      <w:numFmt w:val="lowerRoman"/>
      <w:lvlText w:val="%9."/>
      <w:lvlJc w:val="right"/>
      <w:pPr>
        <w:ind w:left="4348" w:hanging="42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E1MjdiZDgzNmRlYmRjNzRiMTE3MzNlMjZkNzhmMWUifQ=="/>
  </w:docVars>
  <w:rsids>
    <w:rsidRoot w:val="007C7C41"/>
    <w:rsid w:val="0002432A"/>
    <w:rsid w:val="00026832"/>
    <w:rsid w:val="0004220C"/>
    <w:rsid w:val="000B4AC9"/>
    <w:rsid w:val="000C2AAD"/>
    <w:rsid w:val="000C4FCD"/>
    <w:rsid w:val="000C7B07"/>
    <w:rsid w:val="000D17C4"/>
    <w:rsid w:val="000D2C1F"/>
    <w:rsid w:val="000E208E"/>
    <w:rsid w:val="000E22D8"/>
    <w:rsid w:val="000E2FCA"/>
    <w:rsid w:val="000E3EB7"/>
    <w:rsid w:val="000E6B0E"/>
    <w:rsid w:val="000F59A8"/>
    <w:rsid w:val="00103E0F"/>
    <w:rsid w:val="001041D4"/>
    <w:rsid w:val="001111B1"/>
    <w:rsid w:val="001112DE"/>
    <w:rsid w:val="00113DE3"/>
    <w:rsid w:val="001229C1"/>
    <w:rsid w:val="001378A6"/>
    <w:rsid w:val="001407DC"/>
    <w:rsid w:val="00147AE1"/>
    <w:rsid w:val="001508AD"/>
    <w:rsid w:val="00176BAF"/>
    <w:rsid w:val="001819C1"/>
    <w:rsid w:val="00185494"/>
    <w:rsid w:val="0019333A"/>
    <w:rsid w:val="001B2139"/>
    <w:rsid w:val="001C3297"/>
    <w:rsid w:val="001D36D3"/>
    <w:rsid w:val="001F5991"/>
    <w:rsid w:val="001F7DBC"/>
    <w:rsid w:val="00202942"/>
    <w:rsid w:val="002053A9"/>
    <w:rsid w:val="00206640"/>
    <w:rsid w:val="00220D7A"/>
    <w:rsid w:val="0023261F"/>
    <w:rsid w:val="00265E3A"/>
    <w:rsid w:val="00266420"/>
    <w:rsid w:val="002802E5"/>
    <w:rsid w:val="002837F0"/>
    <w:rsid w:val="00285835"/>
    <w:rsid w:val="00291B18"/>
    <w:rsid w:val="002A4AE2"/>
    <w:rsid w:val="002B187F"/>
    <w:rsid w:val="002B2B07"/>
    <w:rsid w:val="002C024E"/>
    <w:rsid w:val="002C2671"/>
    <w:rsid w:val="002F6DB9"/>
    <w:rsid w:val="00311AEF"/>
    <w:rsid w:val="0033452A"/>
    <w:rsid w:val="003409D6"/>
    <w:rsid w:val="00342556"/>
    <w:rsid w:val="00350BE7"/>
    <w:rsid w:val="00354EDA"/>
    <w:rsid w:val="003552E1"/>
    <w:rsid w:val="00376BAC"/>
    <w:rsid w:val="003839A4"/>
    <w:rsid w:val="00384497"/>
    <w:rsid w:val="003961FC"/>
    <w:rsid w:val="003978F7"/>
    <w:rsid w:val="003B018F"/>
    <w:rsid w:val="003C2587"/>
    <w:rsid w:val="003E08E9"/>
    <w:rsid w:val="00404AB4"/>
    <w:rsid w:val="00414168"/>
    <w:rsid w:val="004225D5"/>
    <w:rsid w:val="004244CC"/>
    <w:rsid w:val="00434A15"/>
    <w:rsid w:val="00444647"/>
    <w:rsid w:val="004470A7"/>
    <w:rsid w:val="004473FA"/>
    <w:rsid w:val="00460139"/>
    <w:rsid w:val="004628AB"/>
    <w:rsid w:val="00463B93"/>
    <w:rsid w:val="004719E3"/>
    <w:rsid w:val="00474429"/>
    <w:rsid w:val="004841A8"/>
    <w:rsid w:val="00494B92"/>
    <w:rsid w:val="004A0F69"/>
    <w:rsid w:val="004A47B4"/>
    <w:rsid w:val="004A4A1C"/>
    <w:rsid w:val="004B69EE"/>
    <w:rsid w:val="004C683A"/>
    <w:rsid w:val="004D1E1D"/>
    <w:rsid w:val="004D35B2"/>
    <w:rsid w:val="004D683E"/>
    <w:rsid w:val="004E1784"/>
    <w:rsid w:val="004E1F26"/>
    <w:rsid w:val="004E7358"/>
    <w:rsid w:val="004F3BA6"/>
    <w:rsid w:val="005038C5"/>
    <w:rsid w:val="00507808"/>
    <w:rsid w:val="005206B0"/>
    <w:rsid w:val="00521121"/>
    <w:rsid w:val="005279A6"/>
    <w:rsid w:val="00534A9A"/>
    <w:rsid w:val="005421CC"/>
    <w:rsid w:val="00544DAD"/>
    <w:rsid w:val="00547CE3"/>
    <w:rsid w:val="005568FC"/>
    <w:rsid w:val="0057247C"/>
    <w:rsid w:val="00585B71"/>
    <w:rsid w:val="005A3261"/>
    <w:rsid w:val="005C2A6D"/>
    <w:rsid w:val="005E016F"/>
    <w:rsid w:val="005E12CB"/>
    <w:rsid w:val="005E5FC7"/>
    <w:rsid w:val="005F18D3"/>
    <w:rsid w:val="005F19DE"/>
    <w:rsid w:val="005F3395"/>
    <w:rsid w:val="005F6E1B"/>
    <w:rsid w:val="005F6FA4"/>
    <w:rsid w:val="006101E4"/>
    <w:rsid w:val="0061359D"/>
    <w:rsid w:val="00616524"/>
    <w:rsid w:val="006377EA"/>
    <w:rsid w:val="0065340C"/>
    <w:rsid w:val="00655E0C"/>
    <w:rsid w:val="0068371B"/>
    <w:rsid w:val="006A056B"/>
    <w:rsid w:val="006B274D"/>
    <w:rsid w:val="006B5265"/>
    <w:rsid w:val="006C0664"/>
    <w:rsid w:val="006E407C"/>
    <w:rsid w:val="006F43C4"/>
    <w:rsid w:val="00700865"/>
    <w:rsid w:val="00706CE7"/>
    <w:rsid w:val="00712128"/>
    <w:rsid w:val="00712F84"/>
    <w:rsid w:val="007154F1"/>
    <w:rsid w:val="00722BBF"/>
    <w:rsid w:val="00731F69"/>
    <w:rsid w:val="00750DC3"/>
    <w:rsid w:val="00773AC8"/>
    <w:rsid w:val="00785A55"/>
    <w:rsid w:val="007A6C65"/>
    <w:rsid w:val="007B01B3"/>
    <w:rsid w:val="007B05D1"/>
    <w:rsid w:val="007C7C41"/>
    <w:rsid w:val="007D2559"/>
    <w:rsid w:val="007D4892"/>
    <w:rsid w:val="007D6D66"/>
    <w:rsid w:val="007D6E0E"/>
    <w:rsid w:val="007E0833"/>
    <w:rsid w:val="00801062"/>
    <w:rsid w:val="00810469"/>
    <w:rsid w:val="00813A79"/>
    <w:rsid w:val="00825689"/>
    <w:rsid w:val="00826C2A"/>
    <w:rsid w:val="008655EF"/>
    <w:rsid w:val="00870587"/>
    <w:rsid w:val="00877D26"/>
    <w:rsid w:val="00885372"/>
    <w:rsid w:val="00885BB1"/>
    <w:rsid w:val="008A10B6"/>
    <w:rsid w:val="008A5D13"/>
    <w:rsid w:val="008B48B2"/>
    <w:rsid w:val="008E54DB"/>
    <w:rsid w:val="008E66EB"/>
    <w:rsid w:val="00903C20"/>
    <w:rsid w:val="00906CC5"/>
    <w:rsid w:val="00921051"/>
    <w:rsid w:val="00927127"/>
    <w:rsid w:val="009368D3"/>
    <w:rsid w:val="00937D1C"/>
    <w:rsid w:val="00951FAE"/>
    <w:rsid w:val="00961C65"/>
    <w:rsid w:val="00965F15"/>
    <w:rsid w:val="009754C8"/>
    <w:rsid w:val="009A1D1C"/>
    <w:rsid w:val="009B5FB6"/>
    <w:rsid w:val="009F30ED"/>
    <w:rsid w:val="00A12750"/>
    <w:rsid w:val="00A16F7A"/>
    <w:rsid w:val="00A20E43"/>
    <w:rsid w:val="00A23BA5"/>
    <w:rsid w:val="00A35BB7"/>
    <w:rsid w:val="00A37FF5"/>
    <w:rsid w:val="00A5392D"/>
    <w:rsid w:val="00A53A34"/>
    <w:rsid w:val="00A74CD8"/>
    <w:rsid w:val="00A77A98"/>
    <w:rsid w:val="00A81F44"/>
    <w:rsid w:val="00A91450"/>
    <w:rsid w:val="00A95092"/>
    <w:rsid w:val="00AA145B"/>
    <w:rsid w:val="00AB4256"/>
    <w:rsid w:val="00AC45ED"/>
    <w:rsid w:val="00AC51EC"/>
    <w:rsid w:val="00AD6534"/>
    <w:rsid w:val="00B0175F"/>
    <w:rsid w:val="00B22937"/>
    <w:rsid w:val="00B3412E"/>
    <w:rsid w:val="00B35BE1"/>
    <w:rsid w:val="00B37B00"/>
    <w:rsid w:val="00B52059"/>
    <w:rsid w:val="00B56A7F"/>
    <w:rsid w:val="00B66748"/>
    <w:rsid w:val="00B7493C"/>
    <w:rsid w:val="00B81ED0"/>
    <w:rsid w:val="00B87532"/>
    <w:rsid w:val="00B931B4"/>
    <w:rsid w:val="00BA2B80"/>
    <w:rsid w:val="00BB0BBD"/>
    <w:rsid w:val="00BD0325"/>
    <w:rsid w:val="00BE0D00"/>
    <w:rsid w:val="00BF5E60"/>
    <w:rsid w:val="00C10E71"/>
    <w:rsid w:val="00C56430"/>
    <w:rsid w:val="00C73F58"/>
    <w:rsid w:val="00CA2BEB"/>
    <w:rsid w:val="00CB7695"/>
    <w:rsid w:val="00CC512E"/>
    <w:rsid w:val="00CC68B0"/>
    <w:rsid w:val="00CD6C9C"/>
    <w:rsid w:val="00CF1803"/>
    <w:rsid w:val="00D069B4"/>
    <w:rsid w:val="00D159D5"/>
    <w:rsid w:val="00D1625A"/>
    <w:rsid w:val="00D379A2"/>
    <w:rsid w:val="00D42DED"/>
    <w:rsid w:val="00D70A69"/>
    <w:rsid w:val="00D80103"/>
    <w:rsid w:val="00D85CA0"/>
    <w:rsid w:val="00D93253"/>
    <w:rsid w:val="00D9421F"/>
    <w:rsid w:val="00DA061F"/>
    <w:rsid w:val="00DA340E"/>
    <w:rsid w:val="00DA67B2"/>
    <w:rsid w:val="00DB2CAE"/>
    <w:rsid w:val="00DB5AB0"/>
    <w:rsid w:val="00DF2E12"/>
    <w:rsid w:val="00E17DCF"/>
    <w:rsid w:val="00E17F55"/>
    <w:rsid w:val="00E250FD"/>
    <w:rsid w:val="00E271E4"/>
    <w:rsid w:val="00E51E05"/>
    <w:rsid w:val="00E538A7"/>
    <w:rsid w:val="00E53E1A"/>
    <w:rsid w:val="00E561F7"/>
    <w:rsid w:val="00E63107"/>
    <w:rsid w:val="00E72E7B"/>
    <w:rsid w:val="00E73810"/>
    <w:rsid w:val="00E8275B"/>
    <w:rsid w:val="00E92D41"/>
    <w:rsid w:val="00EA3476"/>
    <w:rsid w:val="00ED2FB9"/>
    <w:rsid w:val="00ED7572"/>
    <w:rsid w:val="00ED7CA5"/>
    <w:rsid w:val="00EE4071"/>
    <w:rsid w:val="00EF202B"/>
    <w:rsid w:val="00EF4C05"/>
    <w:rsid w:val="00F10332"/>
    <w:rsid w:val="00F43369"/>
    <w:rsid w:val="00F74538"/>
    <w:rsid w:val="00F7673C"/>
    <w:rsid w:val="00F87DB3"/>
    <w:rsid w:val="00F93939"/>
    <w:rsid w:val="00FB34C2"/>
    <w:rsid w:val="00FB54AC"/>
    <w:rsid w:val="00FB6547"/>
    <w:rsid w:val="00FB69EE"/>
    <w:rsid w:val="00FB6DDB"/>
    <w:rsid w:val="00FB71AB"/>
    <w:rsid w:val="00FB7D38"/>
    <w:rsid w:val="00FC53F2"/>
    <w:rsid w:val="00FE2A63"/>
    <w:rsid w:val="00FF2603"/>
    <w:rsid w:val="024018DF"/>
    <w:rsid w:val="04114082"/>
    <w:rsid w:val="09A5195E"/>
    <w:rsid w:val="11AA79EB"/>
    <w:rsid w:val="12476873"/>
    <w:rsid w:val="145F6D78"/>
    <w:rsid w:val="15DD1DF8"/>
    <w:rsid w:val="1C0E2CEB"/>
    <w:rsid w:val="1CB15175"/>
    <w:rsid w:val="2A166BC1"/>
    <w:rsid w:val="32AB3BB0"/>
    <w:rsid w:val="36993C98"/>
    <w:rsid w:val="36A42976"/>
    <w:rsid w:val="371A4C8C"/>
    <w:rsid w:val="38136454"/>
    <w:rsid w:val="3B0F6ACC"/>
    <w:rsid w:val="3BEE6177"/>
    <w:rsid w:val="3D422619"/>
    <w:rsid w:val="40E616BA"/>
    <w:rsid w:val="4349552E"/>
    <w:rsid w:val="4390748B"/>
    <w:rsid w:val="45EE264F"/>
    <w:rsid w:val="47EE40E5"/>
    <w:rsid w:val="47F87C39"/>
    <w:rsid w:val="49FF0303"/>
    <w:rsid w:val="4BA74335"/>
    <w:rsid w:val="507A645F"/>
    <w:rsid w:val="52BC34CC"/>
    <w:rsid w:val="53B31AE1"/>
    <w:rsid w:val="54F16ABB"/>
    <w:rsid w:val="597B5CF8"/>
    <w:rsid w:val="5D7E5824"/>
    <w:rsid w:val="645E6340"/>
    <w:rsid w:val="665146E0"/>
    <w:rsid w:val="68320EBE"/>
    <w:rsid w:val="68840209"/>
    <w:rsid w:val="696372E0"/>
    <w:rsid w:val="6CCB679F"/>
    <w:rsid w:val="745F1639"/>
    <w:rsid w:val="76A0780E"/>
    <w:rsid w:val="78253CCB"/>
    <w:rsid w:val="7D415502"/>
    <w:rsid w:val="7EC116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qFormat="1" w:unhideWhenUsed="0" w:uiPriority="0" w:semiHidden="0" w:name="Body Text First Indent 2"/>
    <w:lsdException w:uiPriority="0" w:name="Note Heading"/>
    <w:lsdException w:qFormat="1" w:unhideWhenUsed="0" w:uiPriority="0" w:semiHidden="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79"/>
    <w:autoRedefine/>
    <w:qFormat/>
    <w:uiPriority w:val="0"/>
    <w:pPr>
      <w:keepNext/>
      <w:keepLines/>
      <w:spacing w:line="360" w:lineRule="auto"/>
      <w:outlineLvl w:val="1"/>
    </w:pPr>
    <w:rPr>
      <w:rFonts w:ascii="Arial" w:hAnsi="Arial"/>
      <w:b/>
      <w:bCs/>
      <w:sz w:val="24"/>
      <w:szCs w:val="32"/>
    </w:rPr>
  </w:style>
  <w:style w:type="character" w:default="1" w:styleId="15">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3">
    <w:name w:val="Normal Indent"/>
    <w:basedOn w:val="1"/>
    <w:next w:val="4"/>
    <w:autoRedefine/>
    <w:qFormat/>
    <w:uiPriority w:val="0"/>
    <w:pPr>
      <w:ind w:firstLine="420" w:firstLineChars="200"/>
    </w:pPr>
    <w:rPr>
      <w:rFonts w:ascii="Calibri" w:hAnsi="Calibri"/>
      <w:sz w:val="24"/>
      <w:szCs w:val="22"/>
    </w:rPr>
  </w:style>
  <w:style w:type="paragraph" w:customStyle="1" w:styleId="4">
    <w:name w:val="Default"/>
    <w:next w:val="1"/>
    <w:autoRedefine/>
    <w:qFormat/>
    <w:uiPriority w:val="0"/>
    <w:pPr>
      <w:widowControl w:val="0"/>
      <w:autoSpaceDE w:val="0"/>
      <w:autoSpaceDN w:val="0"/>
      <w:adjustRightInd w:val="0"/>
    </w:pPr>
    <w:rPr>
      <w:rFonts w:ascii="黑体" w:hAnsi="Times New Roman" w:eastAsia="黑体" w:cs="Times New Roman"/>
      <w:lang w:val="en-US" w:eastAsia="zh-CN" w:bidi="ar-SA"/>
    </w:rPr>
  </w:style>
  <w:style w:type="paragraph" w:styleId="5">
    <w:name w:val="Body Text"/>
    <w:basedOn w:val="1"/>
    <w:next w:val="4"/>
    <w:link w:val="80"/>
    <w:autoRedefine/>
    <w:qFormat/>
    <w:uiPriority w:val="0"/>
    <w:pPr>
      <w:spacing w:after="120"/>
    </w:pPr>
  </w:style>
  <w:style w:type="paragraph" w:styleId="6">
    <w:name w:val="Body Text Indent"/>
    <w:basedOn w:val="1"/>
    <w:link w:val="75"/>
    <w:autoRedefine/>
    <w:qFormat/>
    <w:uiPriority w:val="0"/>
    <w:pPr>
      <w:adjustRightInd w:val="0"/>
      <w:snapToGrid w:val="0"/>
      <w:spacing w:line="360" w:lineRule="atLeast"/>
      <w:ind w:firstLine="480"/>
    </w:pPr>
    <w:rPr>
      <w:sz w:val="24"/>
    </w:rPr>
  </w:style>
  <w:style w:type="paragraph" w:styleId="7">
    <w:name w:val="Balloon Text"/>
    <w:basedOn w:val="1"/>
    <w:autoRedefine/>
    <w:semiHidden/>
    <w:qFormat/>
    <w:uiPriority w:val="0"/>
    <w:rPr>
      <w:sz w:val="18"/>
      <w:szCs w:val="18"/>
    </w:rPr>
  </w:style>
  <w:style w:type="paragraph" w:styleId="8">
    <w:name w:val="footer"/>
    <w:basedOn w:val="1"/>
    <w:autoRedefine/>
    <w:qFormat/>
    <w:uiPriority w:val="0"/>
    <w:pPr>
      <w:tabs>
        <w:tab w:val="center" w:pos="4153"/>
        <w:tab w:val="right" w:pos="8306"/>
      </w:tabs>
      <w:snapToGrid w:val="0"/>
      <w:jc w:val="left"/>
    </w:pPr>
    <w:rPr>
      <w:sz w:val="18"/>
      <w:szCs w:val="18"/>
    </w:rPr>
  </w:style>
  <w:style w:type="paragraph" w:styleId="9">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0">
    <w:name w:val="Body Text 2"/>
    <w:basedOn w:val="1"/>
    <w:link w:val="77"/>
    <w:autoRedefine/>
    <w:qFormat/>
    <w:uiPriority w:val="0"/>
    <w:pPr>
      <w:spacing w:after="120" w:line="480" w:lineRule="auto"/>
    </w:pPr>
  </w:style>
  <w:style w:type="paragraph" w:styleId="11">
    <w:name w:val="Normal (Web)"/>
    <w:basedOn w:val="1"/>
    <w:autoRedefine/>
    <w:qFormat/>
    <w:uiPriority w:val="99"/>
    <w:pPr>
      <w:widowControl/>
      <w:spacing w:before="100" w:beforeAutospacing="1" w:after="100" w:afterAutospacing="1"/>
      <w:jc w:val="left"/>
    </w:pPr>
    <w:rPr>
      <w:rFonts w:ascii="宋体" w:hAnsi="宋体"/>
      <w:kern w:val="0"/>
      <w:sz w:val="24"/>
    </w:rPr>
  </w:style>
  <w:style w:type="paragraph" w:styleId="12">
    <w:name w:val="Body Text First Indent 2"/>
    <w:basedOn w:val="6"/>
    <w:link w:val="76"/>
    <w:autoRedefine/>
    <w:qFormat/>
    <w:uiPriority w:val="0"/>
    <w:pPr>
      <w:adjustRightInd/>
      <w:snapToGrid/>
      <w:spacing w:after="120" w:line="240" w:lineRule="auto"/>
      <w:ind w:left="420" w:leftChars="200" w:firstLine="420" w:firstLineChars="200"/>
    </w:pPr>
    <w:rPr>
      <w:sz w:val="21"/>
    </w:rPr>
  </w:style>
  <w:style w:type="table" w:styleId="14">
    <w:name w:val="Table Grid"/>
    <w:basedOn w:val="13"/>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basedOn w:val="15"/>
    <w:autoRedefine/>
    <w:qFormat/>
    <w:uiPriority w:val="0"/>
  </w:style>
  <w:style w:type="character" w:styleId="17">
    <w:name w:val="FollowedHyperlink"/>
    <w:autoRedefine/>
    <w:unhideWhenUsed/>
    <w:qFormat/>
    <w:uiPriority w:val="99"/>
    <w:rPr>
      <w:color w:val="800080"/>
      <w:u w:val="single"/>
    </w:rPr>
  </w:style>
  <w:style w:type="character" w:styleId="18">
    <w:name w:val="Emphasis"/>
    <w:autoRedefine/>
    <w:qFormat/>
    <w:uiPriority w:val="0"/>
    <w:rPr>
      <w:color w:val="CC0000"/>
    </w:rPr>
  </w:style>
  <w:style w:type="character" w:styleId="19">
    <w:name w:val="Hyperlink"/>
    <w:autoRedefine/>
    <w:qFormat/>
    <w:uiPriority w:val="99"/>
    <w:rPr>
      <w:color w:val="990000"/>
      <w:sz w:val="18"/>
      <w:szCs w:val="18"/>
      <w:u w:val="none"/>
    </w:rPr>
  </w:style>
  <w:style w:type="character" w:customStyle="1" w:styleId="20">
    <w:name w:val="style21"/>
    <w:autoRedefine/>
    <w:qFormat/>
    <w:uiPriority w:val="0"/>
    <w:rPr>
      <w:sz w:val="22"/>
      <w:szCs w:val="22"/>
    </w:rPr>
  </w:style>
  <w:style w:type="character" w:customStyle="1" w:styleId="21">
    <w:name w:val="font21"/>
    <w:basedOn w:val="15"/>
    <w:autoRedefine/>
    <w:qFormat/>
    <w:uiPriority w:val="0"/>
    <w:rPr>
      <w:rFonts w:hint="eastAsia" w:ascii="宋体" w:hAnsi="宋体" w:eastAsia="宋体" w:cs="宋体"/>
      <w:color w:val="000000"/>
      <w:sz w:val="20"/>
      <w:szCs w:val="20"/>
      <w:u w:val="none"/>
    </w:rPr>
  </w:style>
  <w:style w:type="character" w:customStyle="1" w:styleId="22">
    <w:name w:val="font41"/>
    <w:autoRedefine/>
    <w:qFormat/>
    <w:uiPriority w:val="0"/>
    <w:rPr>
      <w:rFonts w:ascii="微软雅黑" w:hAnsi="微软雅黑" w:eastAsia="微软雅黑" w:cs="微软雅黑"/>
      <w:b/>
      <w:color w:val="000000"/>
      <w:sz w:val="40"/>
      <w:szCs w:val="40"/>
      <w:u w:val="none"/>
    </w:rPr>
  </w:style>
  <w:style w:type="character" w:customStyle="1" w:styleId="23">
    <w:name w:val="font01"/>
    <w:autoRedefine/>
    <w:qFormat/>
    <w:uiPriority w:val="0"/>
    <w:rPr>
      <w:rFonts w:hint="eastAsia" w:ascii="宋体" w:hAnsi="宋体" w:eastAsia="宋体" w:cs="宋体"/>
      <w:color w:val="000000"/>
      <w:sz w:val="22"/>
      <w:szCs w:val="22"/>
      <w:u w:val="none"/>
    </w:rPr>
  </w:style>
  <w:style w:type="character" w:customStyle="1" w:styleId="24">
    <w:name w:val="font31"/>
    <w:basedOn w:val="15"/>
    <w:autoRedefine/>
    <w:qFormat/>
    <w:uiPriority w:val="0"/>
    <w:rPr>
      <w:rFonts w:hint="eastAsia" w:ascii="微软雅黑" w:hAnsi="微软雅黑" w:eastAsia="微软雅黑" w:cs="微软雅黑"/>
      <w:color w:val="000000"/>
      <w:sz w:val="20"/>
      <w:szCs w:val="20"/>
      <w:u w:val="none"/>
    </w:rPr>
  </w:style>
  <w:style w:type="paragraph" w:customStyle="1" w:styleId="25">
    <w:name w:val="font5"/>
    <w:basedOn w:val="1"/>
    <w:autoRedefine/>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26">
    <w:name w:val="font6"/>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27">
    <w:name w:val="font7"/>
    <w:basedOn w:val="1"/>
    <w:autoRedefine/>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28">
    <w:name w:val="font8"/>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29">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color w:val="000000"/>
      <w:kern w:val="0"/>
      <w:sz w:val="24"/>
    </w:rPr>
  </w:style>
  <w:style w:type="paragraph" w:customStyle="1" w:styleId="30">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1">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2">
    <w:name w:val="xl7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ahoma" w:hAnsi="Tahoma" w:cs="Tahoma"/>
      <w:color w:val="000000"/>
      <w:kern w:val="0"/>
      <w:sz w:val="24"/>
    </w:rPr>
  </w:style>
  <w:style w:type="paragraph" w:customStyle="1" w:styleId="33">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4">
    <w:name w:val="xl7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color w:val="000000"/>
      <w:kern w:val="0"/>
      <w:sz w:val="24"/>
    </w:rPr>
  </w:style>
  <w:style w:type="paragraph" w:customStyle="1" w:styleId="35">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6">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color w:val="000000"/>
      <w:kern w:val="0"/>
      <w:sz w:val="24"/>
    </w:rPr>
  </w:style>
  <w:style w:type="paragraph" w:customStyle="1" w:styleId="37">
    <w:name w:val="xl8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38">
    <w:name w:val="xl82"/>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39">
    <w:name w:val="xl8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0">
    <w:name w:val="xl8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1">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2">
    <w:name w:val="xl8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3">
    <w:name w:val="xl8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4">
    <w:name w:val="xl8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45">
    <w:name w:val="xl8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6">
    <w:name w:val="xl9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47">
    <w:name w:val="xl9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color w:val="000000"/>
      <w:kern w:val="0"/>
      <w:sz w:val="24"/>
    </w:rPr>
  </w:style>
  <w:style w:type="paragraph" w:customStyle="1" w:styleId="48">
    <w:name w:val="xl9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49">
    <w:name w:val="xl9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333333"/>
      <w:kern w:val="0"/>
      <w:sz w:val="24"/>
    </w:rPr>
  </w:style>
  <w:style w:type="paragraph" w:customStyle="1" w:styleId="50">
    <w:name w:val="xl9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color w:val="000000"/>
      <w:kern w:val="0"/>
      <w:sz w:val="24"/>
    </w:rPr>
  </w:style>
  <w:style w:type="paragraph" w:customStyle="1" w:styleId="51">
    <w:name w:val="xl9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000000"/>
      <w:kern w:val="0"/>
      <w:sz w:val="24"/>
    </w:rPr>
  </w:style>
  <w:style w:type="paragraph" w:customStyle="1" w:styleId="52">
    <w:name w:val="xl9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53">
    <w:name w:val="xl9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top"/>
    </w:pPr>
    <w:rPr>
      <w:rFonts w:ascii="宋体" w:hAnsi="宋体" w:cs="宋体"/>
      <w:color w:val="000000"/>
      <w:kern w:val="0"/>
      <w:sz w:val="24"/>
    </w:rPr>
  </w:style>
  <w:style w:type="paragraph" w:customStyle="1" w:styleId="54">
    <w:name w:val="xl9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bottom"/>
    </w:pPr>
    <w:rPr>
      <w:rFonts w:ascii="宋体" w:hAnsi="宋体" w:cs="宋体"/>
      <w:color w:val="000000"/>
      <w:kern w:val="0"/>
      <w:sz w:val="24"/>
    </w:rPr>
  </w:style>
  <w:style w:type="paragraph" w:customStyle="1" w:styleId="55">
    <w:name w:val="xl9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56">
    <w:name w:val="xl10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57">
    <w:name w:val="xl10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kern w:val="0"/>
      <w:sz w:val="24"/>
    </w:rPr>
  </w:style>
  <w:style w:type="paragraph" w:customStyle="1" w:styleId="58">
    <w:name w:val="xl102"/>
    <w:basedOn w:val="1"/>
    <w:autoRedefine/>
    <w:qFormat/>
    <w:uiPriority w:val="0"/>
    <w:pPr>
      <w:widowControl/>
      <w:spacing w:before="100" w:beforeAutospacing="1" w:after="100" w:afterAutospacing="1"/>
      <w:jc w:val="center"/>
    </w:pPr>
    <w:rPr>
      <w:rFonts w:ascii="宋体" w:hAnsi="宋体" w:cs="宋体"/>
      <w:kern w:val="0"/>
      <w:sz w:val="24"/>
    </w:rPr>
  </w:style>
  <w:style w:type="paragraph" w:customStyle="1" w:styleId="59">
    <w:name w:val="xl10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60">
    <w:name w:val="xl10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b/>
      <w:bCs/>
      <w:kern w:val="0"/>
      <w:sz w:val="24"/>
    </w:rPr>
  </w:style>
  <w:style w:type="paragraph" w:customStyle="1" w:styleId="61">
    <w:name w:val="xl10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b/>
      <w:bCs/>
      <w:color w:val="000000"/>
      <w:kern w:val="0"/>
      <w:sz w:val="24"/>
    </w:rPr>
  </w:style>
  <w:style w:type="paragraph" w:customStyle="1" w:styleId="62">
    <w:name w:val="xl106"/>
    <w:basedOn w:val="1"/>
    <w:autoRedefine/>
    <w:qFormat/>
    <w:uiPriority w:val="0"/>
    <w:pPr>
      <w:widowControl/>
      <w:spacing w:before="100" w:beforeAutospacing="1" w:after="100" w:afterAutospacing="1"/>
      <w:jc w:val="center"/>
    </w:pPr>
    <w:rPr>
      <w:rFonts w:ascii="宋体" w:hAnsi="宋体" w:cs="宋体"/>
      <w:b/>
      <w:bCs/>
      <w:kern w:val="0"/>
      <w:sz w:val="24"/>
    </w:rPr>
  </w:style>
  <w:style w:type="paragraph" w:customStyle="1" w:styleId="63">
    <w:name w:val="xl107"/>
    <w:basedOn w:val="1"/>
    <w:autoRedefine/>
    <w:qFormat/>
    <w:uiPriority w:val="0"/>
    <w:pPr>
      <w:widowControl/>
      <w:spacing w:before="100" w:beforeAutospacing="1" w:after="100" w:afterAutospacing="1"/>
      <w:jc w:val="left"/>
      <w:textAlignment w:val="bottom"/>
    </w:pPr>
    <w:rPr>
      <w:rFonts w:ascii="宋体" w:hAnsi="宋体" w:cs="宋体"/>
      <w:kern w:val="0"/>
      <w:sz w:val="22"/>
      <w:szCs w:val="22"/>
    </w:rPr>
  </w:style>
  <w:style w:type="paragraph" w:customStyle="1" w:styleId="64">
    <w:name w:val="xl10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2"/>
      <w:szCs w:val="22"/>
    </w:rPr>
  </w:style>
  <w:style w:type="paragraph" w:customStyle="1" w:styleId="65">
    <w:name w:val="xl109"/>
    <w:basedOn w:val="1"/>
    <w:autoRedefine/>
    <w:qFormat/>
    <w:uiPriority w:val="0"/>
    <w:pPr>
      <w:widowControl/>
      <w:pBdr>
        <w:bottom w:val="single" w:color="auto" w:sz="4" w:space="0"/>
      </w:pBdr>
      <w:spacing w:before="100" w:beforeAutospacing="1" w:after="100" w:afterAutospacing="1"/>
      <w:jc w:val="center"/>
    </w:pPr>
    <w:rPr>
      <w:rFonts w:ascii="宋体" w:hAnsi="宋体" w:cs="宋体"/>
      <w:b/>
      <w:bCs/>
      <w:kern w:val="0"/>
      <w:sz w:val="32"/>
      <w:szCs w:val="32"/>
    </w:rPr>
  </w:style>
  <w:style w:type="paragraph" w:customStyle="1" w:styleId="66">
    <w:name w:val="xl110"/>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kern w:val="0"/>
      <w:sz w:val="22"/>
      <w:szCs w:val="22"/>
    </w:rPr>
  </w:style>
  <w:style w:type="paragraph" w:customStyle="1" w:styleId="67">
    <w:name w:val="xl111"/>
    <w:basedOn w:val="1"/>
    <w:autoRedefine/>
    <w:qFormat/>
    <w:uiPriority w:val="0"/>
    <w:pPr>
      <w:widowControl/>
      <w:pBdr>
        <w:top w:val="single" w:color="auto" w:sz="4" w:space="0"/>
        <w:bottom w:val="single" w:color="auto" w:sz="4" w:space="0"/>
      </w:pBdr>
      <w:spacing w:before="100" w:beforeAutospacing="1" w:after="100" w:afterAutospacing="1"/>
      <w:jc w:val="center"/>
    </w:pPr>
    <w:rPr>
      <w:rFonts w:ascii="宋体" w:hAnsi="宋体" w:cs="宋体"/>
      <w:kern w:val="0"/>
      <w:sz w:val="22"/>
      <w:szCs w:val="22"/>
    </w:rPr>
  </w:style>
  <w:style w:type="paragraph" w:customStyle="1" w:styleId="68">
    <w:name w:val="xl112"/>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2"/>
      <w:szCs w:val="22"/>
    </w:rPr>
  </w:style>
  <w:style w:type="paragraph" w:customStyle="1" w:styleId="69">
    <w:name w:val="xl11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character" w:customStyle="1" w:styleId="70">
    <w:name w:val="font51"/>
    <w:basedOn w:val="15"/>
    <w:autoRedefine/>
    <w:qFormat/>
    <w:uiPriority w:val="0"/>
    <w:rPr>
      <w:rFonts w:hint="eastAsia" w:ascii="宋体" w:hAnsi="宋体" w:eastAsia="宋体" w:cs="宋体"/>
      <w:color w:val="000000"/>
      <w:sz w:val="24"/>
      <w:szCs w:val="24"/>
      <w:u w:val="none"/>
    </w:rPr>
  </w:style>
  <w:style w:type="character" w:customStyle="1" w:styleId="71">
    <w:name w:val="font81"/>
    <w:basedOn w:val="15"/>
    <w:autoRedefine/>
    <w:qFormat/>
    <w:uiPriority w:val="0"/>
    <w:rPr>
      <w:rFonts w:hint="eastAsia" w:ascii="宋体" w:hAnsi="宋体" w:eastAsia="宋体" w:cs="宋体"/>
      <w:color w:val="000000"/>
      <w:sz w:val="24"/>
      <w:szCs w:val="24"/>
      <w:u w:val="none"/>
    </w:rPr>
  </w:style>
  <w:style w:type="character" w:customStyle="1" w:styleId="72">
    <w:name w:val="font151"/>
    <w:basedOn w:val="15"/>
    <w:autoRedefine/>
    <w:qFormat/>
    <w:uiPriority w:val="0"/>
    <w:rPr>
      <w:rFonts w:hint="eastAsia" w:ascii="宋体" w:hAnsi="宋体" w:eastAsia="宋体" w:cs="宋体"/>
      <w:b/>
      <w:bCs/>
      <w:color w:val="000000"/>
      <w:sz w:val="24"/>
      <w:szCs w:val="24"/>
      <w:u w:val="none"/>
    </w:rPr>
  </w:style>
  <w:style w:type="character" w:customStyle="1" w:styleId="73">
    <w:name w:val="font161"/>
    <w:basedOn w:val="15"/>
    <w:autoRedefine/>
    <w:qFormat/>
    <w:uiPriority w:val="0"/>
    <w:rPr>
      <w:rFonts w:hint="eastAsia" w:ascii="宋体" w:hAnsi="宋体" w:eastAsia="宋体" w:cs="宋体"/>
      <w:b/>
      <w:bCs/>
      <w:color w:val="000000"/>
      <w:sz w:val="22"/>
      <w:szCs w:val="22"/>
      <w:u w:val="none"/>
    </w:rPr>
  </w:style>
  <w:style w:type="paragraph" w:styleId="74">
    <w:name w:val="List Paragraph"/>
    <w:basedOn w:val="1"/>
    <w:autoRedefine/>
    <w:unhideWhenUsed/>
    <w:qFormat/>
    <w:uiPriority w:val="99"/>
    <w:pPr>
      <w:ind w:firstLine="420" w:firstLineChars="200"/>
    </w:pPr>
  </w:style>
  <w:style w:type="character" w:customStyle="1" w:styleId="75">
    <w:name w:val="正文文本缩进 字符"/>
    <w:basedOn w:val="15"/>
    <w:link w:val="6"/>
    <w:autoRedefine/>
    <w:qFormat/>
    <w:uiPriority w:val="0"/>
    <w:rPr>
      <w:kern w:val="2"/>
      <w:sz w:val="24"/>
      <w:szCs w:val="24"/>
    </w:rPr>
  </w:style>
  <w:style w:type="character" w:customStyle="1" w:styleId="76">
    <w:name w:val="正文文本首行缩进 2 字符"/>
    <w:basedOn w:val="75"/>
    <w:link w:val="12"/>
    <w:autoRedefine/>
    <w:qFormat/>
    <w:uiPriority w:val="0"/>
    <w:rPr>
      <w:kern w:val="2"/>
      <w:sz w:val="24"/>
      <w:szCs w:val="24"/>
    </w:rPr>
  </w:style>
  <w:style w:type="character" w:customStyle="1" w:styleId="77">
    <w:name w:val="正文文本 2 字符"/>
    <w:basedOn w:val="15"/>
    <w:link w:val="10"/>
    <w:autoRedefine/>
    <w:qFormat/>
    <w:uiPriority w:val="0"/>
    <w:rPr>
      <w:kern w:val="2"/>
      <w:sz w:val="21"/>
      <w:szCs w:val="24"/>
    </w:rPr>
  </w:style>
  <w:style w:type="paragraph" w:customStyle="1" w:styleId="78">
    <w:name w:val="列表段落1"/>
    <w:basedOn w:val="1"/>
    <w:autoRedefine/>
    <w:qFormat/>
    <w:uiPriority w:val="99"/>
    <w:pPr>
      <w:widowControl/>
      <w:spacing w:before="50" w:after="50" w:line="400" w:lineRule="exact"/>
      <w:ind w:left="720"/>
      <w:contextualSpacing/>
      <w:jc w:val="left"/>
    </w:pPr>
    <w:rPr>
      <w:kern w:val="0"/>
      <w:sz w:val="24"/>
    </w:rPr>
  </w:style>
  <w:style w:type="character" w:customStyle="1" w:styleId="79">
    <w:name w:val="标题 2 字符"/>
    <w:basedOn w:val="15"/>
    <w:link w:val="2"/>
    <w:autoRedefine/>
    <w:qFormat/>
    <w:uiPriority w:val="0"/>
    <w:rPr>
      <w:rFonts w:ascii="Arial" w:hAnsi="Arial"/>
      <w:b/>
      <w:bCs/>
      <w:kern w:val="2"/>
      <w:sz w:val="24"/>
      <w:szCs w:val="32"/>
    </w:rPr>
  </w:style>
  <w:style w:type="character" w:customStyle="1" w:styleId="80">
    <w:name w:val="正文文本 字符"/>
    <w:basedOn w:val="15"/>
    <w:link w:val="5"/>
    <w:autoRedefine/>
    <w:qFormat/>
    <w:uiPriority w:val="0"/>
    <w:rPr>
      <w:kern w:val="2"/>
      <w:sz w:val="21"/>
      <w:szCs w:val="24"/>
    </w:rPr>
  </w:style>
  <w:style w:type="paragraph" w:customStyle="1" w:styleId="81">
    <w:name w:val="EndnoteText"/>
    <w:basedOn w:val="1"/>
    <w:autoRedefine/>
    <w:qFormat/>
    <w:uiPriority w:val="0"/>
  </w:style>
  <w:style w:type="character" w:customStyle="1" w:styleId="82">
    <w:name w:val="font11"/>
    <w:basedOn w:val="15"/>
    <w:autoRedefine/>
    <w:qFormat/>
    <w:uiPriority w:val="0"/>
    <w:rPr>
      <w:rFonts w:hint="eastAsia" w:ascii="宋体" w:hAnsi="宋体" w:eastAsia="宋体" w:cs="宋体"/>
      <w:b/>
      <w:bCs/>
      <w:color w:val="000000"/>
      <w:sz w:val="21"/>
      <w:szCs w:val="21"/>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EEACA"/>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25C7C0-2B6D-4A4D-8B98-D5D76F8894DE}">
  <ds:schemaRefs/>
</ds:datastoreItem>
</file>

<file path=docProps/app.xml><?xml version="1.0" encoding="utf-8"?>
<Properties xmlns="http://schemas.openxmlformats.org/officeDocument/2006/extended-properties" xmlns:vt="http://schemas.openxmlformats.org/officeDocument/2006/docPropsVTypes">
  <Template>Normal.dotm</Template>
  <Pages>19</Pages>
  <Words>1499</Words>
  <Characters>8548</Characters>
  <Lines>71</Lines>
  <Paragraphs>20</Paragraphs>
  <TotalTime>8</TotalTime>
  <ScaleCrop>false</ScaleCrop>
  <LinksUpToDate>false</LinksUpToDate>
  <CharactersWithSpaces>10027</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2016-03-07T08:05:00Z</dcterms:created>
  <dc:creator>jwc</dc:creator>
  <cp:lastModifiedBy>.oоО镶嵌</cp:lastModifiedBy>
  <cp:lastPrinted>2009-02-17T01:24:00Z</cp:lastPrinted>
  <dcterms:modified xsi:type="dcterms:W3CDTF">2024-03-18T08:00:58Z</dcterms:modified>
  <dc:title>湖南科技大学2005-2006年教材招标</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FE5C9DE71E864B11BD856D914D2488C9_13</vt:lpwstr>
  </property>
</Properties>
</file>