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eastAsia="黑体"/>
          <w:b/>
          <w:sz w:val="52"/>
          <w:szCs w:val="52"/>
        </w:rPr>
        <w:t>2024年度工程设计服务项目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Pr>
        <w:jc w:val="center"/>
        <w:rPr>
          <w:sz w:val="32"/>
        </w:rPr>
      </w:pPr>
      <w:r>
        <w:rPr>
          <w:rFonts w:hint="eastAsia"/>
          <w:sz w:val="32"/>
        </w:rPr>
        <w:t>202</w:t>
      </w:r>
      <w:r>
        <w:rPr>
          <w:sz w:val="32"/>
        </w:rPr>
        <w:t>4</w:t>
      </w:r>
      <w:r>
        <w:rPr>
          <w:rFonts w:hint="eastAsia"/>
          <w:sz w:val="32"/>
        </w:rPr>
        <w:t>年3月</w:t>
      </w:r>
    </w:p>
    <w:p/>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bookmarkStart w:id="1" w:name="_Hlk160806041"/>
      <w:r>
        <w:rPr>
          <w:rFonts w:hint="eastAsia" w:ascii="宋体" w:hAnsi="宋体" w:cs="宋体"/>
          <w:b/>
          <w:color w:val="FF0000"/>
          <w:kern w:val="0"/>
          <w:sz w:val="36"/>
          <w:szCs w:val="36"/>
        </w:rPr>
        <w:t>2024年度工程设计服务项目</w:t>
      </w:r>
    </w:p>
    <w:bookmarkEnd w:id="1"/>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2024年度工程设计服务项目</w:t>
      </w:r>
      <w:r>
        <w:rPr>
          <w:rFonts w:ascii="宋体" w:hAnsi="宋体" w:cs="宋体"/>
          <w:color w:val="000000"/>
          <w:kern w:val="0"/>
          <w:sz w:val="24"/>
        </w:rPr>
        <w:t>进行招标，现将招投标工作事宜公告如下：</w:t>
      </w:r>
    </w:p>
    <w:p>
      <w:pPr>
        <w:widowControl/>
        <w:numPr>
          <w:ilvl w:val="0"/>
          <w:numId w:val="0"/>
        </w:numPr>
        <w:spacing w:before="124" w:beforeLines="40" w:after="124" w:afterLines="40"/>
        <w:ind w:firstLine="480" w:firstLineChars="200"/>
        <w:rPr>
          <w:rFonts w:ascii="宋体" w:hAnsi="宋体" w:cs="宋体"/>
          <w:color w:val="000000"/>
          <w:kern w:val="0"/>
          <w:sz w:val="24"/>
        </w:rPr>
      </w:pPr>
      <w:r>
        <w:rPr>
          <w:rFonts w:hint="eastAsia" w:ascii="宋体" w:hAnsi="宋体" w:eastAsia="宋体" w:cs="宋体"/>
          <w:color w:val="000000"/>
          <w:kern w:val="0"/>
          <w:sz w:val="24"/>
          <w:szCs w:val="24"/>
          <w:lang w:val="en-US" w:eastAsia="zh-CN" w:bidi="ar-SA"/>
        </w:rPr>
        <w:t>一、</w:t>
      </w:r>
      <w:r>
        <w:rPr>
          <w:rFonts w:ascii="宋体" w:hAnsi="宋体" w:cs="宋体"/>
          <w:b/>
          <w:bCs/>
          <w:color w:val="000000"/>
          <w:kern w:val="0"/>
          <w:sz w:val="24"/>
        </w:rPr>
        <w:t xml:space="preserve"> </w:t>
      </w:r>
      <w:r>
        <w:rPr>
          <w:rFonts w:hint="eastAsia" w:ascii="宋体" w:hAnsi="宋体" w:cs="宋体"/>
          <w:b/>
          <w:bCs/>
          <w:color w:val="000000"/>
          <w:kern w:val="0"/>
          <w:sz w:val="24"/>
        </w:rPr>
        <w:t xml:space="preserve"> 采购项目基本概况</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项目名称：</w:t>
      </w:r>
      <w:bookmarkStart w:id="2" w:name="_Hlk160807207"/>
      <w:r>
        <w:rPr>
          <w:rFonts w:ascii="宋体" w:hAnsi="宋体" w:cs="宋体"/>
          <w:color w:val="000000"/>
          <w:kern w:val="0"/>
          <w:sz w:val="24"/>
        </w:rPr>
        <w:t>湖南</w:t>
      </w:r>
      <w:r>
        <w:rPr>
          <w:rFonts w:hint="eastAsia" w:ascii="宋体" w:hAnsi="宋体" w:cs="宋体"/>
          <w:color w:val="000000"/>
          <w:kern w:val="0"/>
          <w:sz w:val="24"/>
        </w:rPr>
        <w:t>化工职业技术学院2024年度工程设计服务项目</w:t>
      </w:r>
      <w:bookmarkEnd w:id="2"/>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ind w:firstLine="480" w:firstLineChars="200"/>
        <w:rPr>
          <w:rFonts w:ascii="宋体" w:hAnsi="宋体" w:cs="宋体"/>
          <w:color w:val="000000"/>
          <w:kern w:val="0"/>
          <w:sz w:val="24"/>
        </w:rPr>
      </w:pPr>
      <w:bookmarkStart w:id="3" w:name="_Hlk144221827"/>
      <w:r>
        <w:rPr>
          <w:rFonts w:hint="eastAsia" w:ascii="宋体" w:hAnsi="宋体" w:cs="宋体"/>
          <w:color w:val="000000"/>
          <w:kern w:val="0"/>
          <w:sz w:val="24"/>
        </w:rPr>
        <w:t>3、采购预算</w:t>
      </w:r>
      <w:r>
        <w:rPr>
          <w:rFonts w:hint="eastAsia" w:ascii="宋体" w:hAnsi="宋体" w:cs="宋体"/>
          <w:color w:val="auto"/>
          <w:kern w:val="0"/>
          <w:sz w:val="24"/>
        </w:rPr>
        <w:t>：</w:t>
      </w:r>
      <w:r>
        <w:rPr>
          <w:rFonts w:hint="eastAsia" w:ascii="宋体" w:hAnsi="宋体" w:cs="宋体"/>
          <w:color w:val="auto"/>
          <w:kern w:val="0"/>
          <w:sz w:val="24"/>
          <w:lang w:val="en-US" w:eastAsia="zh-CN"/>
        </w:rPr>
        <w:t>20</w:t>
      </w:r>
      <w:r>
        <w:rPr>
          <w:rFonts w:hint="eastAsia" w:ascii="宋体" w:hAnsi="宋体" w:cs="宋体"/>
          <w:color w:val="auto"/>
          <w:kern w:val="0"/>
          <w:sz w:val="24"/>
        </w:rPr>
        <w:t>万元</w:t>
      </w:r>
      <w:r>
        <w:rPr>
          <w:rFonts w:hint="eastAsia" w:ascii="宋体" w:hAnsi="宋体" w:cs="宋体"/>
          <w:color w:val="000000"/>
          <w:kern w:val="0"/>
          <w:sz w:val="24"/>
        </w:rPr>
        <w:t>（以实际的业务为准）</w:t>
      </w:r>
      <w:bookmarkEnd w:id="3"/>
    </w:p>
    <w:p>
      <w:pPr>
        <w:pStyle w:val="78"/>
        <w:widowControl/>
        <w:numPr>
          <w:ilvl w:val="1"/>
          <w:numId w:val="1"/>
        </w:numPr>
        <w:spacing w:before="124" w:beforeLines="40" w:after="124" w:afterLines="40"/>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ind w:left="284"/>
        <w:rPr>
          <w:rFonts w:ascii="宋体" w:hAnsi="宋体" w:cs="宋体"/>
          <w:color w:val="000000"/>
          <w:kern w:val="0"/>
          <w:sz w:val="24"/>
        </w:rPr>
      </w:pPr>
      <w:bookmarkStart w:id="4" w:name="_Hlk160807244"/>
      <w:r>
        <w:rPr>
          <w:rFonts w:hint="eastAsia" w:ascii="宋体" w:hAnsi="宋体" w:cs="宋体"/>
          <w:color w:val="000000"/>
          <w:kern w:val="0"/>
          <w:sz w:val="24"/>
        </w:rPr>
        <w:t>（一）基本资格条件</w:t>
      </w:r>
    </w:p>
    <w:p>
      <w:pPr>
        <w:pStyle w:val="78"/>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78"/>
        <w:widowControl/>
        <w:numPr>
          <w:ilvl w:val="0"/>
          <w:numId w:val="2"/>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78"/>
        <w:widowControl/>
        <w:numPr>
          <w:ilvl w:val="0"/>
          <w:numId w:val="2"/>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78"/>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78"/>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78"/>
        <w:widowControl/>
        <w:spacing w:line="440" w:lineRule="exact"/>
        <w:ind w:left="420" w:firstLine="0" w:firstLineChars="0"/>
        <w:jc w:val="left"/>
        <w:rPr>
          <w:rFonts w:hint="eastAsia" w:ascii="宋体" w:hAnsi="宋体" w:eastAsia="宋体" w:cs="宋体"/>
          <w:color w:val="000000"/>
          <w:kern w:val="0"/>
          <w:sz w:val="24"/>
          <w:lang w:eastAsia="zh-CN"/>
        </w:rPr>
      </w:pPr>
      <w:r>
        <w:rPr>
          <w:rFonts w:hint="eastAsia" w:ascii="宋体" w:hAnsi="宋体" w:cs="宋体"/>
          <w:color w:val="000000"/>
          <w:sz w:val="24"/>
          <w:highlight w:val="green"/>
        </w:rPr>
        <w:t>6、已入驻湖南省财政厅政府采购电子卖场证明</w:t>
      </w:r>
      <w:r>
        <w:rPr>
          <w:rFonts w:hint="eastAsia" w:ascii="宋体" w:hAnsi="宋体" w:cs="宋体"/>
          <w:color w:val="000000"/>
          <w:sz w:val="24"/>
          <w:highlight w:val="green"/>
          <w:lang w:eastAsia="zh-CN"/>
        </w:rPr>
        <w:t>；</w:t>
      </w:r>
    </w:p>
    <w:p>
      <w:pPr>
        <w:pStyle w:val="78"/>
        <w:widowControl/>
        <w:spacing w:line="440" w:lineRule="exact"/>
        <w:ind w:left="420" w:firstLine="0" w:firstLineChars="0"/>
        <w:jc w:val="left"/>
        <w:rPr>
          <w:rFonts w:hint="eastAsia" w:ascii="宋体" w:hAnsi="宋体" w:eastAsia="宋体" w:cs="宋体"/>
          <w:color w:val="000000"/>
          <w:kern w:val="0"/>
          <w:sz w:val="24"/>
          <w:lang w:eastAsia="zh-CN"/>
        </w:rPr>
      </w:pPr>
      <w:r>
        <w:rPr>
          <w:rFonts w:hint="eastAsia" w:ascii="宋体" w:hAnsi="宋体" w:cs="宋体"/>
          <w:color w:val="000000"/>
          <w:kern w:val="0"/>
          <w:sz w:val="24"/>
        </w:rPr>
        <w:t>7、法律、行政法规规定的其他条件</w:t>
      </w:r>
      <w:r>
        <w:rPr>
          <w:rFonts w:hint="eastAsia" w:ascii="宋体" w:hAnsi="宋体" w:cs="宋体"/>
          <w:color w:val="000000"/>
          <w:kern w:val="0"/>
          <w:sz w:val="24"/>
          <w:lang w:eastAsia="zh-CN"/>
        </w:rPr>
        <w:t>；</w:t>
      </w:r>
    </w:p>
    <w:p>
      <w:pPr>
        <w:pStyle w:val="78"/>
        <w:widowControl/>
        <w:spacing w:line="440" w:lineRule="exact"/>
        <w:ind w:left="420" w:firstLine="0" w:firstLineChars="0"/>
        <w:jc w:val="left"/>
        <w:rPr>
          <w:rFonts w:hint="eastAsia" w:ascii="宋体" w:hAnsi="宋体" w:eastAsia="宋体" w:cs="宋体"/>
          <w:color w:val="000000"/>
          <w:kern w:val="0"/>
          <w:sz w:val="24"/>
          <w:lang w:eastAsia="zh-CN"/>
        </w:rPr>
      </w:pPr>
      <w:r>
        <w:rPr>
          <w:rFonts w:hint="eastAsia" w:ascii="宋体" w:hAnsi="宋体" w:cs="宋体"/>
          <w:color w:val="000000"/>
          <w:kern w:val="0"/>
          <w:sz w:val="24"/>
        </w:rPr>
        <w:t>8、本项目不接受联合体参与投标</w:t>
      </w:r>
      <w:r>
        <w:rPr>
          <w:rFonts w:hint="eastAsia" w:ascii="宋体" w:hAnsi="宋体" w:cs="宋体"/>
          <w:color w:val="000000"/>
          <w:kern w:val="0"/>
          <w:sz w:val="24"/>
          <w:lang w:eastAsia="zh-CN"/>
        </w:rPr>
        <w:t>。</w:t>
      </w:r>
    </w:p>
    <w:p>
      <w:pPr>
        <w:widowControl/>
        <w:spacing w:line="360" w:lineRule="auto"/>
        <w:ind w:left="329"/>
        <w:rPr>
          <w:rFonts w:ascii="宋体" w:hAnsi="宋体" w:cs="宋体"/>
          <w:color w:val="000000"/>
          <w:kern w:val="0"/>
          <w:sz w:val="24"/>
        </w:rPr>
      </w:pPr>
      <w:r>
        <w:rPr>
          <w:rFonts w:hint="eastAsia" w:ascii="宋体" w:hAnsi="宋体" w:cs="宋体"/>
          <w:color w:val="000000"/>
          <w:kern w:val="0"/>
          <w:sz w:val="24"/>
        </w:rPr>
        <w:t>（二）特定资格条件</w:t>
      </w:r>
    </w:p>
    <w:p>
      <w:pPr>
        <w:pStyle w:val="78"/>
        <w:widowControl/>
        <w:spacing w:line="440" w:lineRule="exact"/>
        <w:ind w:left="420" w:firstLine="0" w:firstLineChars="0"/>
        <w:jc w:val="left"/>
        <w:rPr>
          <w:rFonts w:ascii="宋体" w:hAnsi="宋体" w:cs="宋体"/>
          <w:color w:val="FF0000"/>
          <w:kern w:val="0"/>
          <w:sz w:val="24"/>
        </w:rPr>
      </w:pPr>
      <w:bookmarkStart w:id="5" w:name="_Hlk160968648"/>
      <w:r>
        <w:rPr>
          <w:rFonts w:hint="eastAsia" w:ascii="宋体" w:hAnsi="宋体" w:cs="宋体"/>
          <w:color w:val="000000" w:themeColor="text1"/>
          <w:kern w:val="0"/>
          <w:sz w:val="24"/>
          <w14:textFill>
            <w14:solidFill>
              <w14:schemeClr w14:val="tx1"/>
            </w14:solidFill>
          </w14:textFill>
        </w:rPr>
        <w:t>1、具备建筑行业</w:t>
      </w:r>
      <w:r>
        <w:rPr>
          <w:rFonts w:hint="eastAsia" w:ascii="宋体" w:hAnsi="宋体" w:cs="宋体"/>
          <w:color w:val="000000"/>
          <w:kern w:val="0"/>
          <w:sz w:val="24"/>
        </w:rPr>
        <w:t>（建筑工程）甲级资质。</w:t>
      </w:r>
    </w:p>
    <w:bookmarkEnd w:id="4"/>
    <w:bookmarkEnd w:id="5"/>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1、报名时间：2024年</w:t>
      </w:r>
      <w:r>
        <w:rPr>
          <w:rFonts w:hint="eastAsia" w:ascii="宋体" w:hAnsi="宋体" w:cs="宋体"/>
          <w:color w:val="auto"/>
          <w:kern w:val="0"/>
          <w:sz w:val="24"/>
        </w:rPr>
        <w:t>3月29日至2024年4月</w:t>
      </w:r>
      <w:r>
        <w:rPr>
          <w:rFonts w:hint="eastAsia" w:ascii="宋体" w:hAnsi="宋体" w:cs="宋体"/>
          <w:color w:val="auto"/>
          <w:kern w:val="0"/>
          <w:sz w:val="24"/>
          <w:lang w:val="en-US" w:eastAsia="zh-CN"/>
        </w:rPr>
        <w:t>7</w:t>
      </w:r>
      <w:r>
        <w:rPr>
          <w:rFonts w:hint="eastAsia" w:ascii="宋体" w:hAnsi="宋体" w:cs="宋体"/>
          <w:color w:val="auto"/>
          <w:kern w:val="0"/>
          <w:sz w:val="24"/>
        </w:rPr>
        <w:t>日17：</w:t>
      </w:r>
      <w:r>
        <w:rPr>
          <w:rFonts w:hint="eastAsia" w:ascii="宋体" w:hAnsi="宋体" w:cs="宋体"/>
          <w:color w:val="000000"/>
          <w:kern w:val="0"/>
          <w:sz w:val="24"/>
        </w:rPr>
        <w:t>00止；</w:t>
      </w:r>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2"/>
          <w:rFonts w:hint="eastAsia" w:ascii="宋体" w:hAnsi="宋体" w:cs="宋体"/>
          <w:color w:val="auto"/>
          <w:kern w:val="0"/>
          <w:sz w:val="24"/>
        </w:rPr>
        <w:t>zcglccg@126.com</w:t>
      </w:r>
      <w:r>
        <w:rPr>
          <w:rStyle w:val="22"/>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1、响应文件递交开始时间：2024年4月</w:t>
      </w:r>
      <w:r>
        <w:rPr>
          <w:rFonts w:hint="eastAsia" w:ascii="宋体" w:hAnsi="宋体" w:cs="宋体"/>
          <w:color w:val="000000"/>
          <w:kern w:val="0"/>
          <w:sz w:val="24"/>
          <w:lang w:val="en-US" w:eastAsia="zh-CN"/>
        </w:rPr>
        <w:t>9</w:t>
      </w:r>
      <w:r>
        <w:rPr>
          <w:rFonts w:hint="eastAsia" w:ascii="宋体" w:hAnsi="宋体" w:cs="宋体"/>
          <w:color w:val="000000"/>
          <w:kern w:val="0"/>
          <w:sz w:val="24"/>
        </w:rPr>
        <w:t>日北京时间9:00；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2、响应文件递交截止时间（开标时间）：2024年4月</w:t>
      </w:r>
      <w:r>
        <w:rPr>
          <w:rFonts w:hint="eastAsia" w:ascii="宋体" w:hAnsi="宋体" w:cs="宋体"/>
          <w:color w:val="000000"/>
          <w:kern w:val="0"/>
          <w:sz w:val="24"/>
          <w:lang w:val="en-US" w:eastAsia="zh-CN"/>
        </w:rPr>
        <w:t>9</w:t>
      </w:r>
      <w:r>
        <w:rPr>
          <w:rFonts w:hint="eastAsia" w:ascii="宋体" w:hAnsi="宋体" w:cs="宋体"/>
          <w:color w:val="000000"/>
          <w:kern w:val="0"/>
          <w:sz w:val="24"/>
        </w:rPr>
        <w:t>日北京时间9:00；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3、开标地点：湖南化工职业技术学院行政楼109室。</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left="479" w:leftChars="228"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3"/>
        <w:ind w:firstLine="480"/>
        <w:rPr>
          <w:color w:val="000000"/>
        </w:rPr>
      </w:pPr>
    </w:p>
    <w:p>
      <w:pPr>
        <w:pStyle w:val="4"/>
        <w:rPr>
          <w:color w:val="000000"/>
        </w:rPr>
      </w:pPr>
    </w:p>
    <w:p>
      <w:pPr>
        <w:pStyle w:val="4"/>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6"/>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5"/>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kern w:val="0"/>
          <w:sz w:val="24"/>
        </w:rPr>
      </w:pPr>
      <w:r>
        <w:rPr>
          <w:rFonts w:hint="eastAsia" w:ascii="宋体" w:hAnsi="宋体" w:cs="宋体"/>
          <w:color w:val="000000"/>
          <w:kern w:val="0"/>
          <w:sz w:val="24"/>
        </w:rPr>
        <w:t>1</w:t>
      </w:r>
      <w:r>
        <w:rPr>
          <w:rFonts w:hint="eastAsia" w:ascii="宋体" w:hAnsi="宋体" w:cs="宋体"/>
          <w:kern w:val="0"/>
          <w:sz w:val="24"/>
        </w:rPr>
        <w:t>、</w:t>
      </w:r>
      <w:r>
        <w:rPr>
          <w:rFonts w:hint="eastAsia" w:ascii="宋体" w:hAnsi="宋体" w:cs="宋体"/>
          <w:color w:val="000000"/>
          <w:kern w:val="0"/>
          <w:sz w:val="24"/>
        </w:rPr>
        <w:t>工程设计服务</w:t>
      </w:r>
      <w:r>
        <w:rPr>
          <w:rFonts w:hint="eastAsia" w:ascii="宋体" w:hAnsi="宋体" w:cs="宋体"/>
          <w:kern w:val="0"/>
          <w:sz w:val="24"/>
        </w:rPr>
        <w:t>机构选取不超过</w:t>
      </w:r>
      <w:r>
        <w:rPr>
          <w:rFonts w:ascii="宋体" w:hAnsi="宋体" w:cs="宋体"/>
          <w:kern w:val="0"/>
          <w:sz w:val="24"/>
        </w:rPr>
        <w:t>2</w:t>
      </w:r>
      <w:r>
        <w:rPr>
          <w:rFonts w:hint="eastAsia" w:ascii="宋体" w:hAnsi="宋体" w:cs="宋体"/>
          <w:kern w:val="0"/>
          <w:sz w:val="24"/>
        </w:rPr>
        <w:t>家中标单位（若是实际应标单位少于4家，采购人有权减少入围单位数量）。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2、双方共同签订《</w:t>
      </w:r>
      <w:bookmarkStart w:id="6" w:name="_Hlk160810094"/>
      <w:r>
        <w:rPr>
          <w:rFonts w:hint="eastAsia" w:ascii="宋体" w:hAnsi="宋体" w:cs="宋体"/>
          <w:color w:val="000000"/>
          <w:kern w:val="0"/>
          <w:sz w:val="24"/>
        </w:rPr>
        <w:t>湖南化工职业技术学院2024年工程设计服务项目</w:t>
      </w:r>
      <w:bookmarkEnd w:id="6"/>
      <w:r>
        <w:rPr>
          <w:rFonts w:hint="eastAsia" w:ascii="宋体" w:hAnsi="宋体" w:cs="宋体"/>
          <w:color w:val="000000"/>
          <w:kern w:val="0"/>
          <w:sz w:val="24"/>
        </w:rPr>
        <w:t>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hint="eastAsia" w:ascii="宋体" w:hAnsi="宋体" w:eastAsia="宋体" w:cs="宋体"/>
          <w:color w:val="000000"/>
          <w:kern w:val="0"/>
          <w:sz w:val="24"/>
          <w:lang w:eastAsia="zh-CN"/>
        </w:rPr>
      </w:pPr>
      <w:r>
        <w:rPr>
          <w:rFonts w:hint="eastAsia" w:ascii="宋体" w:hAnsi="宋体" w:cs="宋体"/>
          <w:color w:val="000000"/>
          <w:kern w:val="0"/>
          <w:sz w:val="24"/>
        </w:rPr>
        <w:t>6、已入驻湖南省财政厅政府采购电子卖场证明</w:t>
      </w:r>
      <w:r>
        <w:rPr>
          <w:rFonts w:hint="eastAsia" w:ascii="宋体" w:hAnsi="宋体" w:cs="宋体"/>
          <w:color w:val="000000"/>
          <w:kern w:val="0"/>
          <w:sz w:val="24"/>
          <w:lang w:eastAsia="zh-CN"/>
        </w:rPr>
        <w:t>；</w:t>
      </w:r>
    </w:p>
    <w:p>
      <w:pPr>
        <w:widowControl/>
        <w:spacing w:line="360" w:lineRule="auto"/>
        <w:ind w:firstLine="480" w:firstLineChars="200"/>
        <w:jc w:val="left"/>
        <w:rPr>
          <w:rFonts w:hint="eastAsia" w:ascii="宋体" w:hAnsi="宋体" w:eastAsia="宋体" w:cs="宋体"/>
          <w:color w:val="000000"/>
          <w:kern w:val="0"/>
          <w:sz w:val="24"/>
          <w:lang w:eastAsia="zh-CN"/>
        </w:rPr>
      </w:pPr>
      <w:r>
        <w:rPr>
          <w:rFonts w:hint="eastAsia" w:ascii="宋体" w:hAnsi="宋体" w:cs="宋体"/>
          <w:color w:val="000000"/>
          <w:kern w:val="0"/>
          <w:sz w:val="24"/>
        </w:rPr>
        <w:t>7、法律、行政法规规定的其他条件</w:t>
      </w:r>
      <w:r>
        <w:rPr>
          <w:rFonts w:hint="eastAsia" w:ascii="宋体" w:hAnsi="宋体" w:cs="宋体"/>
          <w:color w:val="000000"/>
          <w:kern w:val="0"/>
          <w:sz w:val="24"/>
          <w:lang w:eastAsia="zh-CN"/>
        </w:rPr>
        <w:t>；</w:t>
      </w:r>
      <w:bookmarkStart w:id="15" w:name="_GoBack"/>
      <w:bookmarkEnd w:id="15"/>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（二）特定资格条件</w:t>
      </w:r>
    </w:p>
    <w:p>
      <w:pPr>
        <w:pStyle w:val="78"/>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1、具备建筑行业（建筑工程）甲级资质。</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八、项目需求</w:t>
      </w:r>
    </w:p>
    <w:p>
      <w:pPr>
        <w:widowControl/>
        <w:spacing w:line="360" w:lineRule="auto"/>
        <w:ind w:firstLine="480" w:firstLineChars="200"/>
        <w:jc w:val="left"/>
        <w:rPr>
          <w:rFonts w:ascii="宋体" w:hAnsi="宋体" w:cs="宋体"/>
          <w:b/>
          <w:color w:val="000000"/>
          <w:kern w:val="0"/>
          <w:sz w:val="24"/>
        </w:rPr>
      </w:pPr>
      <w:r>
        <w:rPr>
          <w:rFonts w:hint="eastAsia" w:ascii="宋体" w:hAnsi="宋体" w:cs="宋体"/>
          <w:bCs/>
          <w:color w:val="000000"/>
          <w:kern w:val="0"/>
          <w:sz w:val="24"/>
        </w:rPr>
        <w:t>（一）采购内容</w:t>
      </w:r>
    </w:p>
    <w:p>
      <w:pPr>
        <w:widowControl/>
        <w:spacing w:line="360" w:lineRule="auto"/>
        <w:ind w:firstLine="480" w:firstLineChars="200"/>
        <w:jc w:val="left"/>
        <w:rPr>
          <w:rFonts w:ascii="宋体" w:hAnsi="宋体" w:cs="宋体"/>
          <w:sz w:val="24"/>
        </w:rPr>
      </w:pPr>
      <w:bookmarkStart w:id="7" w:name="_Hlk155257755"/>
      <w:r>
        <w:rPr>
          <w:rFonts w:hint="eastAsia" w:ascii="宋体" w:hAnsi="宋体" w:cs="宋体"/>
          <w:color w:val="000000"/>
          <w:kern w:val="0"/>
          <w:sz w:val="24"/>
        </w:rPr>
        <w:t>对我校基本建设项目提供工程设计服务</w:t>
      </w:r>
      <w:r>
        <w:rPr>
          <w:rFonts w:hint="eastAsia" w:ascii="宋体" w:hAnsi="宋体" w:cs="宋体"/>
          <w:sz w:val="24"/>
        </w:rPr>
        <w:t>。</w:t>
      </w:r>
    </w:p>
    <w:bookmarkEnd w:id="7"/>
    <w:p>
      <w:pPr>
        <w:spacing w:line="360" w:lineRule="auto"/>
        <w:ind w:firstLine="480" w:firstLineChars="200"/>
        <w:rPr>
          <w:rFonts w:ascii="宋体" w:hAnsi="宋体" w:cs="宋体"/>
          <w:b w:val="0"/>
          <w:bCs/>
          <w:color w:val="auto"/>
          <w:sz w:val="24"/>
        </w:rPr>
      </w:pPr>
      <w:r>
        <w:rPr>
          <w:rFonts w:hint="eastAsia" w:ascii="宋体" w:hAnsi="宋体" w:cs="宋体"/>
          <w:b w:val="0"/>
          <w:bCs/>
          <w:color w:val="auto"/>
          <w:kern w:val="0"/>
          <w:sz w:val="24"/>
        </w:rPr>
        <w:t>（二）</w:t>
      </w:r>
      <w:r>
        <w:rPr>
          <w:rFonts w:hint="eastAsia" w:ascii="宋体" w:hAnsi="宋体" w:cs="宋体"/>
          <w:b w:val="0"/>
          <w:bCs/>
          <w:color w:val="auto"/>
          <w:sz w:val="24"/>
        </w:rPr>
        <w:t>功能及要求</w:t>
      </w:r>
    </w:p>
    <w:p>
      <w:pPr>
        <w:pStyle w:val="86"/>
        <w:spacing w:line="360" w:lineRule="auto"/>
        <w:ind w:firstLine="480" w:firstLineChars="200"/>
        <w:rPr>
          <w:rFonts w:hAnsi="宋体" w:cs="宋体"/>
          <w:color w:val="auto"/>
          <w:szCs w:val="24"/>
          <w:lang w:val="en-US"/>
        </w:rPr>
      </w:pPr>
      <w:r>
        <w:rPr>
          <w:rFonts w:hint="eastAsia" w:hAnsi="宋体" w:cs="宋体"/>
          <w:color w:val="auto"/>
          <w:szCs w:val="24"/>
          <w:lang w:val="en-US"/>
        </w:rPr>
        <w:t>1、必须满足采购人提供的设计要求。</w:t>
      </w:r>
    </w:p>
    <w:p>
      <w:pPr>
        <w:pStyle w:val="86"/>
        <w:spacing w:line="360" w:lineRule="auto"/>
        <w:ind w:firstLine="480" w:firstLineChars="200"/>
        <w:rPr>
          <w:rFonts w:hAnsi="宋体" w:cs="宋体"/>
          <w:color w:val="auto"/>
          <w:szCs w:val="24"/>
          <w:lang w:val="en-US"/>
        </w:rPr>
      </w:pPr>
      <w:r>
        <w:rPr>
          <w:rFonts w:hint="eastAsia" w:hAnsi="宋体" w:cs="宋体"/>
          <w:color w:val="auto"/>
          <w:szCs w:val="24"/>
          <w:lang w:val="en-US"/>
        </w:rPr>
        <w:t>2、必须执行其他相关职能部门对本项目的批复文件。</w:t>
      </w:r>
    </w:p>
    <w:p>
      <w:pPr>
        <w:pStyle w:val="86"/>
        <w:spacing w:line="360" w:lineRule="auto"/>
        <w:ind w:firstLine="480" w:firstLineChars="200"/>
        <w:rPr>
          <w:rFonts w:hAnsi="宋体" w:cs="宋体"/>
          <w:color w:val="auto"/>
          <w:szCs w:val="24"/>
          <w:lang w:val="en-US"/>
        </w:rPr>
      </w:pPr>
      <w:r>
        <w:rPr>
          <w:rFonts w:hint="eastAsia" w:hAnsi="宋体" w:cs="宋体"/>
          <w:color w:val="auto"/>
          <w:szCs w:val="24"/>
          <w:lang w:val="en-US"/>
        </w:rPr>
        <w:t>3、设计范围应包括本次招标范围内工程所有内容。</w:t>
      </w:r>
    </w:p>
    <w:p>
      <w:pPr>
        <w:pStyle w:val="86"/>
        <w:spacing w:line="360" w:lineRule="auto"/>
        <w:ind w:firstLine="480" w:firstLineChars="200"/>
        <w:rPr>
          <w:rFonts w:hAnsi="宋体" w:cs="宋体"/>
          <w:color w:val="auto"/>
          <w:szCs w:val="24"/>
          <w:lang w:val="en-US"/>
        </w:rPr>
      </w:pPr>
      <w:r>
        <w:rPr>
          <w:rFonts w:hint="eastAsia" w:hAnsi="宋体" w:cs="宋体"/>
          <w:color w:val="auto"/>
          <w:szCs w:val="24"/>
          <w:lang w:val="en-US"/>
        </w:rPr>
        <w:t>4、供应商在出具设计成果前，其设计成果需征得采购人的确认。</w:t>
      </w:r>
    </w:p>
    <w:p>
      <w:pPr>
        <w:spacing w:line="360" w:lineRule="auto"/>
        <w:ind w:firstLine="480" w:firstLineChars="200"/>
        <w:rPr>
          <w:rFonts w:ascii="宋体" w:hAnsi="宋体" w:cs="宋体"/>
          <w:b w:val="0"/>
          <w:bCs/>
          <w:color w:val="auto"/>
          <w:sz w:val="24"/>
        </w:rPr>
      </w:pPr>
      <w:r>
        <w:rPr>
          <w:rFonts w:hint="eastAsia" w:ascii="宋体" w:hAnsi="宋体" w:cs="宋体"/>
          <w:b w:val="0"/>
          <w:bCs/>
          <w:color w:val="auto"/>
          <w:sz w:val="24"/>
        </w:rPr>
        <w:t>（三）相关标准</w:t>
      </w:r>
    </w:p>
    <w:p>
      <w:pPr>
        <w:spacing w:line="360" w:lineRule="auto"/>
        <w:ind w:firstLine="480" w:firstLineChars="200"/>
        <w:rPr>
          <w:rFonts w:ascii="宋体" w:hAnsi="宋体" w:cs="宋体"/>
          <w:color w:val="auto"/>
          <w:sz w:val="24"/>
        </w:rPr>
      </w:pPr>
      <w:r>
        <w:rPr>
          <w:rFonts w:hint="eastAsia" w:ascii="宋体" w:hAnsi="宋体" w:cs="宋体"/>
          <w:color w:val="auto"/>
          <w:sz w:val="24"/>
        </w:rPr>
        <w:t>符合行业强制标准；</w:t>
      </w:r>
    </w:p>
    <w:p>
      <w:pPr>
        <w:spacing w:line="360" w:lineRule="auto"/>
        <w:ind w:firstLine="480" w:firstLineChars="200"/>
        <w:rPr>
          <w:rFonts w:ascii="宋体" w:hAnsi="宋体" w:cs="宋体"/>
          <w:color w:val="auto"/>
          <w:sz w:val="24"/>
        </w:rPr>
      </w:pPr>
      <w:r>
        <w:rPr>
          <w:rFonts w:hint="eastAsia" w:ascii="宋体" w:hAnsi="宋体" w:cs="宋体"/>
          <w:color w:val="auto"/>
          <w:sz w:val="24"/>
        </w:rPr>
        <w:t>符合国家和行业现行规范、规程标准；</w:t>
      </w:r>
    </w:p>
    <w:p>
      <w:pPr>
        <w:spacing w:line="360" w:lineRule="auto"/>
        <w:ind w:firstLine="480" w:firstLineChars="200"/>
        <w:rPr>
          <w:rFonts w:ascii="宋体" w:hAnsi="宋体"/>
          <w:color w:val="auto"/>
          <w:sz w:val="24"/>
        </w:rPr>
      </w:pPr>
      <w:r>
        <w:rPr>
          <w:rFonts w:hint="eastAsia" w:ascii="宋体" w:hAnsi="宋体" w:cs="宋体"/>
          <w:color w:val="auto"/>
          <w:sz w:val="24"/>
        </w:rPr>
        <w:t>其他法律法规、规章规定必须内容。</w:t>
      </w:r>
    </w:p>
    <w:p>
      <w:pPr>
        <w:spacing w:line="360" w:lineRule="auto"/>
        <w:ind w:firstLine="480" w:firstLineChars="200"/>
        <w:rPr>
          <w:rFonts w:ascii="宋体" w:hAnsi="宋体" w:cs="宋体"/>
          <w:b w:val="0"/>
          <w:bCs/>
          <w:color w:val="auto"/>
          <w:sz w:val="24"/>
        </w:rPr>
      </w:pPr>
      <w:r>
        <w:rPr>
          <w:rFonts w:hint="eastAsia" w:ascii="宋体" w:hAnsi="宋体" w:cs="宋体"/>
          <w:b w:val="0"/>
          <w:bCs/>
          <w:color w:val="auto"/>
          <w:sz w:val="24"/>
        </w:rPr>
        <w:t>（四)服务标准</w:t>
      </w:r>
    </w:p>
    <w:p>
      <w:pPr>
        <w:pStyle w:val="86"/>
        <w:spacing w:line="360" w:lineRule="auto"/>
        <w:ind w:firstLine="480" w:firstLineChars="200"/>
        <w:rPr>
          <w:rFonts w:hAnsi="宋体" w:cs="宋体"/>
          <w:color w:val="auto"/>
          <w:szCs w:val="24"/>
          <w:lang w:val="en-US"/>
        </w:rPr>
      </w:pPr>
      <w:r>
        <w:rPr>
          <w:rFonts w:hint="eastAsia" w:hAnsi="宋体" w:cs="宋体"/>
          <w:color w:val="auto"/>
          <w:szCs w:val="24"/>
          <w:lang w:val="en-US"/>
        </w:rPr>
        <w:t>1、</w:t>
      </w:r>
      <w:r>
        <w:rPr>
          <w:rFonts w:hAnsi="宋体" w:cs="宋体"/>
          <w:color w:val="auto"/>
          <w:szCs w:val="24"/>
          <w:lang w:val="en-US"/>
        </w:rPr>
        <w:t>1</w:t>
      </w:r>
      <w:r>
        <w:rPr>
          <w:rFonts w:hint="eastAsia" w:hAnsi="宋体" w:cs="宋体"/>
          <w:color w:val="auto"/>
          <w:szCs w:val="24"/>
          <w:lang w:val="en-US"/>
        </w:rPr>
        <w:t>小时内做出响应，</w:t>
      </w:r>
      <w:r>
        <w:rPr>
          <w:rFonts w:hAnsi="宋体" w:cs="宋体"/>
          <w:color w:val="auto"/>
          <w:szCs w:val="24"/>
          <w:lang w:val="en-US"/>
        </w:rPr>
        <w:t>3</w:t>
      </w:r>
      <w:r>
        <w:rPr>
          <w:rFonts w:hint="eastAsia" w:hAnsi="宋体" w:cs="宋体"/>
          <w:color w:val="auto"/>
          <w:szCs w:val="24"/>
          <w:lang w:val="en-US"/>
        </w:rPr>
        <w:t>小时内到达现场。</w:t>
      </w:r>
    </w:p>
    <w:p>
      <w:pPr>
        <w:pStyle w:val="86"/>
        <w:spacing w:line="360" w:lineRule="auto"/>
        <w:ind w:firstLine="480" w:firstLineChars="200"/>
        <w:rPr>
          <w:rFonts w:hAnsi="宋体" w:cs="宋体"/>
          <w:color w:val="auto"/>
          <w:szCs w:val="24"/>
          <w:lang w:val="en-US"/>
        </w:rPr>
      </w:pPr>
      <w:r>
        <w:rPr>
          <w:rFonts w:hint="eastAsia" w:hAnsi="宋体" w:cs="宋体"/>
          <w:color w:val="auto"/>
          <w:szCs w:val="24"/>
          <w:lang w:val="en-US"/>
        </w:rPr>
        <w:t>2、向采购人提供符合相关要求的设计成果文件纸质版</w:t>
      </w:r>
      <w:r>
        <w:rPr>
          <w:rFonts w:hint="eastAsia" w:hAnsi="宋体" w:cs="宋体"/>
          <w:color w:val="auto"/>
          <w:szCs w:val="24"/>
          <w:u w:val="single"/>
          <w:lang w:val="en-US"/>
        </w:rPr>
        <w:t xml:space="preserve"> 5 </w:t>
      </w:r>
      <w:r>
        <w:rPr>
          <w:rFonts w:hint="eastAsia" w:hAnsi="宋体" w:cs="宋体"/>
          <w:color w:val="auto"/>
          <w:szCs w:val="24"/>
          <w:lang w:val="en-US"/>
        </w:rPr>
        <w:t>套和P</w:t>
      </w:r>
      <w:r>
        <w:rPr>
          <w:rFonts w:hAnsi="宋体" w:cs="宋体"/>
          <w:color w:val="auto"/>
          <w:szCs w:val="24"/>
          <w:lang w:val="en-US"/>
        </w:rPr>
        <w:t>DF</w:t>
      </w:r>
      <w:r>
        <w:rPr>
          <w:rFonts w:hint="eastAsia" w:hAnsi="宋体" w:cs="宋体"/>
          <w:color w:val="auto"/>
          <w:szCs w:val="24"/>
          <w:lang w:val="en-US"/>
        </w:rPr>
        <w:t>电子档1份。采购人若需要增加数量，供应商必须予以配合。</w:t>
      </w:r>
    </w:p>
    <w:p>
      <w:pPr>
        <w:pStyle w:val="86"/>
        <w:spacing w:line="360" w:lineRule="auto"/>
        <w:ind w:firstLine="480" w:firstLineChars="200"/>
        <w:rPr>
          <w:rFonts w:hint="eastAsia" w:hAnsi="宋体" w:cs="宋体"/>
          <w:color w:val="auto"/>
          <w:szCs w:val="24"/>
          <w:lang w:val="en-US"/>
        </w:rPr>
      </w:pPr>
      <w:r>
        <w:rPr>
          <w:rFonts w:hint="eastAsia" w:hAnsi="宋体" w:cs="宋体"/>
          <w:color w:val="auto"/>
          <w:szCs w:val="24"/>
          <w:lang w:val="en-US"/>
        </w:rPr>
        <w:t>3、按采购人的要求协助完成设计批复及相关的联络协调工作。</w:t>
      </w:r>
    </w:p>
    <w:p>
      <w:pPr>
        <w:pStyle w:val="86"/>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（五）设计费具体计算方法</w:t>
      </w:r>
    </w:p>
    <w:p>
      <w:pPr>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设计单位以《工程勘察设计收费标准》（2002）文件规定收费标准为基础，</w:t>
      </w:r>
      <w:r>
        <w:rPr>
          <w:rStyle w:val="89"/>
          <w:rFonts w:hint="eastAsia" w:ascii="宋体" w:hAnsi="宋体" w:cs="宋体"/>
          <w:color w:val="auto"/>
          <w:sz w:val="24"/>
          <w:u w:val="none"/>
        </w:rPr>
        <w:t>下浮的优惠率</w:t>
      </w:r>
      <w:r>
        <w:rPr>
          <w:rStyle w:val="89"/>
          <w:rFonts w:hint="eastAsia" w:ascii="宋体" w:hAnsi="宋体" w:cs="宋体"/>
          <w:color w:val="auto"/>
          <w:sz w:val="24"/>
        </w:rPr>
        <w:t xml:space="preserve">    </w:t>
      </w:r>
      <w:r>
        <w:rPr>
          <w:rStyle w:val="89"/>
          <w:rFonts w:hint="eastAsia" w:ascii="宋体" w:hAnsi="宋体" w:cs="宋体"/>
          <w:color w:val="auto"/>
          <w:sz w:val="24"/>
          <w:u w:val="none"/>
        </w:rPr>
        <w:t>%进行自主报价</w:t>
      </w:r>
      <w:r>
        <w:rPr>
          <w:rFonts w:hint="eastAsia" w:ascii="宋体" w:hAnsi="宋体" w:cs="宋体"/>
          <w:color w:val="000000"/>
          <w:kern w:val="0"/>
          <w:sz w:val="24"/>
        </w:rPr>
        <w:t>。</w:t>
      </w:r>
      <w:r>
        <w:rPr>
          <w:rStyle w:val="89"/>
          <w:rFonts w:hint="eastAsia" w:ascii="宋体" w:hAnsi="宋体" w:cs="宋体"/>
          <w:color w:val="auto"/>
          <w:sz w:val="24"/>
          <w:highlight w:val="green"/>
          <w:u w:val="none"/>
        </w:rPr>
        <w:t>（最高限价：优惠率不低于标准价格的20%，即最高价不得高于标准价格的80%，</w:t>
      </w:r>
      <w:r>
        <w:rPr>
          <w:rStyle w:val="89"/>
          <w:rFonts w:hint="eastAsia" w:ascii="宋体" w:hAnsi="宋体" w:cs="宋体"/>
          <w:b/>
          <w:bCs/>
          <w:color w:val="auto"/>
          <w:sz w:val="24"/>
          <w:highlight w:val="green"/>
          <w:u w:val="none"/>
        </w:rPr>
        <w:t>本次报价是按照优惠率进行报价。</w:t>
      </w:r>
      <w:r>
        <w:rPr>
          <w:rStyle w:val="89"/>
          <w:rFonts w:hint="eastAsia" w:ascii="宋体" w:hAnsi="宋体" w:cs="宋体"/>
          <w:color w:val="auto"/>
          <w:sz w:val="24"/>
          <w:highlight w:val="green"/>
          <w:u w:val="none"/>
        </w:rPr>
        <w:t>）</w:t>
      </w:r>
    </w:p>
    <w:p>
      <w:pPr>
        <w:adjustRightInd w:val="0"/>
        <w:snapToGrid w:val="0"/>
        <w:spacing w:before="156" w:beforeLines="50" w:line="360" w:lineRule="auto"/>
        <w:ind w:firstLine="482" w:firstLineChars="200"/>
        <w:rPr>
          <w:rFonts w:hint="eastAsia" w:ascii="宋体" w:hAnsi="宋体" w:cs="宋体"/>
          <w:color w:val="000000"/>
          <w:kern w:val="0"/>
          <w:sz w:val="24"/>
        </w:rPr>
      </w:pPr>
      <w:r>
        <w:rPr>
          <w:rStyle w:val="89"/>
          <w:rFonts w:hint="eastAsia" w:ascii="宋体" w:hAnsi="宋体" w:cs="宋体"/>
          <w:b/>
          <w:bCs/>
          <w:color w:val="auto"/>
          <w:sz w:val="24"/>
          <w:u w:val="none"/>
        </w:rPr>
        <w:t>说明：</w:t>
      </w:r>
      <w:r>
        <w:rPr>
          <w:rStyle w:val="89"/>
          <w:rFonts w:hint="eastAsia" w:ascii="宋体" w:hAnsi="宋体" w:cs="宋体"/>
          <w:b/>
          <w:bCs/>
          <w:color w:val="auto"/>
          <w:sz w:val="24"/>
          <w:highlight w:val="green"/>
          <w:u w:val="none"/>
          <w:lang w:val="en-US" w:eastAsia="zh-CN"/>
        </w:rPr>
        <w:t>设计</w:t>
      </w:r>
      <w:r>
        <w:rPr>
          <w:rStyle w:val="89"/>
          <w:rFonts w:hint="eastAsia" w:ascii="宋体" w:hAnsi="宋体" w:cs="宋体"/>
          <w:b/>
          <w:bCs/>
          <w:color w:val="auto"/>
          <w:sz w:val="24"/>
          <w:highlight w:val="green"/>
          <w:u w:val="none"/>
        </w:rPr>
        <w:t>费最终具体计算方法（结算价格）：</w:t>
      </w:r>
      <w:r>
        <w:rPr>
          <w:rStyle w:val="89"/>
          <w:rFonts w:hint="eastAsia" w:ascii="宋体" w:hAnsi="宋体" w:cs="宋体"/>
          <w:b/>
          <w:bCs/>
          <w:color w:val="auto"/>
          <w:sz w:val="24"/>
          <w:highlight w:val="green"/>
          <w:u w:val="none"/>
          <w:lang w:val="en-US" w:eastAsia="zh-CN"/>
        </w:rPr>
        <w:t>设计</w:t>
      </w:r>
      <w:r>
        <w:rPr>
          <w:rStyle w:val="89"/>
          <w:rFonts w:hint="eastAsia" w:ascii="宋体" w:hAnsi="宋体" w:cs="宋体"/>
          <w:b/>
          <w:bCs/>
          <w:color w:val="auto"/>
          <w:sz w:val="24"/>
          <w:highlight w:val="green"/>
          <w:u w:val="none"/>
        </w:rPr>
        <w:t>费＝按</w:t>
      </w:r>
      <w:r>
        <w:rPr>
          <w:rStyle w:val="89"/>
          <w:rFonts w:hint="eastAsia" w:ascii="宋体" w:hAnsi="宋体" w:cs="宋体"/>
          <w:b/>
          <w:bCs/>
          <w:color w:val="auto"/>
          <w:sz w:val="24"/>
          <w:highlight w:val="green"/>
          <w:u w:val="none"/>
          <w:lang w:eastAsia="zh-CN"/>
        </w:rPr>
        <w:t>《</w:t>
      </w:r>
      <w:r>
        <w:rPr>
          <w:rStyle w:val="89"/>
          <w:rFonts w:hint="eastAsia" w:ascii="宋体" w:hAnsi="宋体" w:cs="宋体"/>
          <w:b/>
          <w:bCs/>
          <w:color w:val="auto"/>
          <w:sz w:val="24"/>
          <w:highlight w:val="green"/>
          <w:u w:val="none"/>
          <w:lang w:val="en-US" w:eastAsia="zh-CN"/>
        </w:rPr>
        <w:t>工程勘察设计收费标准</w:t>
      </w:r>
      <w:r>
        <w:rPr>
          <w:rStyle w:val="89"/>
          <w:rFonts w:hint="eastAsia" w:ascii="宋体" w:hAnsi="宋体" w:cs="宋体"/>
          <w:b/>
          <w:bCs/>
          <w:color w:val="auto"/>
          <w:sz w:val="24"/>
          <w:highlight w:val="green"/>
          <w:u w:val="none"/>
          <w:lang w:eastAsia="zh-CN"/>
        </w:rPr>
        <w:t>》（</w:t>
      </w:r>
      <w:r>
        <w:rPr>
          <w:rStyle w:val="89"/>
          <w:rFonts w:hint="eastAsia" w:ascii="宋体" w:hAnsi="宋体" w:cs="宋体"/>
          <w:b/>
          <w:bCs/>
          <w:color w:val="auto"/>
          <w:sz w:val="24"/>
          <w:highlight w:val="green"/>
          <w:u w:val="none"/>
          <w:lang w:val="en-US" w:eastAsia="zh-CN"/>
        </w:rPr>
        <w:t>2002）</w:t>
      </w:r>
      <w:r>
        <w:rPr>
          <w:rStyle w:val="89"/>
          <w:rFonts w:hint="eastAsia" w:ascii="宋体" w:hAnsi="宋体" w:cs="宋体"/>
          <w:b/>
          <w:bCs/>
          <w:color w:val="auto"/>
          <w:sz w:val="24"/>
          <w:highlight w:val="green"/>
          <w:u w:val="none"/>
        </w:rPr>
        <w:t>文件规定</w:t>
      </w:r>
      <w:r>
        <w:rPr>
          <w:rStyle w:val="89"/>
          <w:rFonts w:hint="eastAsia" w:ascii="宋体" w:hAnsi="宋体" w:cs="宋体"/>
          <w:b/>
          <w:bCs/>
          <w:color w:val="auto"/>
          <w:sz w:val="24"/>
          <w:highlight w:val="green"/>
          <w:u w:val="none"/>
          <w:lang w:val="en-US" w:eastAsia="zh-CN"/>
        </w:rPr>
        <w:t>收费标准</w:t>
      </w:r>
      <w:r>
        <w:rPr>
          <w:rStyle w:val="89"/>
          <w:rFonts w:hint="eastAsia" w:ascii="宋体" w:hAnsi="宋体" w:cs="宋体"/>
          <w:b/>
          <w:bCs/>
          <w:color w:val="auto"/>
          <w:sz w:val="24"/>
          <w:highlight w:val="green"/>
          <w:u w:val="none"/>
        </w:rPr>
        <w:t>计算的计费结果×（1-投标报价优惠率）×（1-二次竞价洽谈优惠率），其中</w:t>
      </w:r>
      <w:r>
        <w:rPr>
          <w:rStyle w:val="89"/>
          <w:rFonts w:hint="eastAsia" w:ascii="宋体" w:hAnsi="宋体" w:cs="宋体"/>
          <w:b/>
          <w:bCs/>
          <w:color w:val="auto"/>
          <w:sz w:val="24"/>
          <w:highlight w:val="green"/>
          <w:u w:val="none"/>
          <w:lang w:val="en-US" w:eastAsia="zh-CN"/>
        </w:rPr>
        <w:t>设计</w:t>
      </w:r>
      <w:r>
        <w:rPr>
          <w:rStyle w:val="89"/>
          <w:rFonts w:hint="eastAsia" w:ascii="宋体" w:hAnsi="宋体" w:cs="宋体"/>
          <w:b/>
          <w:bCs/>
          <w:color w:val="auto"/>
          <w:sz w:val="24"/>
          <w:highlight w:val="green"/>
          <w:u w:val="none"/>
        </w:rPr>
        <w:t>费的计费基数为采购需求单位或上级主管单位最终审定的金额。</w:t>
      </w:r>
      <w:r>
        <w:rPr>
          <w:rStyle w:val="89"/>
          <w:rFonts w:hint="eastAsia" w:ascii="宋体" w:hAnsi="宋体" w:cs="宋体"/>
          <w:b/>
          <w:bCs/>
          <w:color w:val="FF0000"/>
          <w:sz w:val="24"/>
          <w:highlight w:val="green"/>
          <w:u w:val="none"/>
        </w:rPr>
        <w:t>其中二次竞价洽谈是合作期间针对具体项目的二次报价（报价的基础不得高出投标报价），本次招标中不含此项报价。</w:t>
      </w:r>
    </w:p>
    <w:p>
      <w:pPr>
        <w:spacing w:before="60" w:after="80" w:line="360" w:lineRule="auto"/>
        <w:ind w:firstLine="480" w:firstLineChars="200"/>
        <w:rPr>
          <w:rFonts w:ascii="宋体" w:hAnsi="宋体" w:cs="宋体"/>
          <w:bCs/>
          <w:color w:val="000000"/>
          <w:sz w:val="24"/>
        </w:rPr>
      </w:pPr>
      <w:r>
        <w:rPr>
          <w:rFonts w:hint="eastAsia" w:ascii="宋体" w:hAnsi="宋体" w:cs="宋体"/>
          <w:bCs/>
          <w:color w:val="000000"/>
          <w:sz w:val="24"/>
        </w:rPr>
        <w:t>（六）定标方式：综合评分法，</w:t>
      </w:r>
      <w:r>
        <w:rPr>
          <w:rFonts w:hint="eastAsia" w:ascii="宋体" w:hAnsi="宋体" w:cs="宋体"/>
          <w:bCs/>
          <w:sz w:val="24"/>
        </w:rPr>
        <w:t>按照综合得分排名，选取不超过2个单位为入围单位，</w:t>
      </w:r>
      <w:bookmarkStart w:id="8" w:name="_Hlk160692516"/>
      <w:r>
        <w:rPr>
          <w:rFonts w:hint="eastAsia" w:ascii="宋体" w:hAnsi="宋体" w:cs="宋体"/>
          <w:bCs/>
          <w:sz w:val="24"/>
        </w:rPr>
        <w:t>若是实际应标单位少于4家，采购人有权减少入围单位数量。</w:t>
      </w:r>
      <w:bookmarkEnd w:id="8"/>
    </w:p>
    <w:p>
      <w:pPr>
        <w:spacing w:line="360" w:lineRule="auto"/>
        <w:ind w:firstLine="480" w:firstLineChars="200"/>
        <w:rPr>
          <w:rFonts w:ascii="宋体" w:hAnsi="宋体" w:cs="宋体"/>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hint="eastAsia"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17"/>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17"/>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9"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9"/>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10"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10"/>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3"/>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3"/>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3"/>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3"/>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3"/>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3"/>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3"/>
        <w:widowControl w:val="0"/>
        <w:adjustRightInd w:val="0"/>
        <w:snapToGrid w:val="0"/>
        <w:spacing w:before="0" w:beforeAutospacing="0" w:after="0" w:afterAutospacing="0" w:line="360" w:lineRule="auto"/>
        <w:ind w:firstLine="480" w:firstLineChars="200"/>
        <w:rPr>
          <w:rFonts w:cs="宋体"/>
          <w:bCs/>
          <w:color w:val="000000"/>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w:t>
      </w:r>
    </w:p>
    <w:tbl>
      <w:tblPr>
        <w:tblStyle w:val="16"/>
        <w:tblW w:w="89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58"/>
        <w:gridCol w:w="2235"/>
        <w:gridCol w:w="2565"/>
        <w:gridCol w:w="1825"/>
        <w:gridCol w:w="138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22" w:hRule="atLeast"/>
          <w:jc w:val="center"/>
        </w:trPr>
        <w:tc>
          <w:tcPr>
            <w:tcW w:w="958"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b/>
                <w:bCs/>
                <w:color w:val="000000"/>
                <w:sz w:val="24"/>
              </w:rPr>
            </w:pPr>
            <w:r>
              <w:rPr>
                <w:rFonts w:hint="eastAsia" w:ascii="宋体" w:hAnsi="宋体" w:cs="宋体"/>
                <w:b/>
                <w:bCs/>
                <w:color w:val="000000"/>
                <w:sz w:val="24"/>
              </w:rPr>
              <w:t>序号</w:t>
            </w:r>
          </w:p>
        </w:tc>
        <w:tc>
          <w:tcPr>
            <w:tcW w:w="2235"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b/>
                <w:bCs/>
                <w:color w:val="000000"/>
                <w:sz w:val="24"/>
              </w:rPr>
            </w:pPr>
            <w:r>
              <w:rPr>
                <w:rFonts w:hint="eastAsia" w:ascii="宋体" w:hAnsi="宋体" w:cs="宋体"/>
                <w:b/>
                <w:bCs/>
                <w:color w:val="000000"/>
                <w:sz w:val="24"/>
              </w:rPr>
              <w:t>服务名称</w:t>
            </w:r>
          </w:p>
        </w:tc>
        <w:tc>
          <w:tcPr>
            <w:tcW w:w="2565" w:type="dxa"/>
            <w:tcBorders>
              <w:top w:val="single" w:color="auto" w:sz="4" w:space="0"/>
              <w:left w:val="single" w:color="auto" w:sz="4" w:space="0"/>
              <w:bottom w:val="nil"/>
              <w:right w:val="single" w:color="auto" w:sz="4" w:space="0"/>
            </w:tcBorders>
            <w:vAlign w:val="center"/>
          </w:tcPr>
          <w:p>
            <w:pPr>
              <w:adjustRightInd w:val="0"/>
              <w:snapToGrid w:val="0"/>
              <w:ind w:left="-88" w:leftChars="-42"/>
              <w:jc w:val="center"/>
              <w:rPr>
                <w:rFonts w:ascii="宋体" w:hAnsi="宋体" w:cs="宋体"/>
                <w:b/>
                <w:bCs/>
                <w:color w:val="000000"/>
                <w:sz w:val="24"/>
              </w:rPr>
            </w:pPr>
            <w:r>
              <w:rPr>
                <w:rFonts w:hint="eastAsia" w:ascii="宋体" w:hAnsi="宋体" w:cs="宋体"/>
                <w:b/>
                <w:bCs/>
                <w:color w:val="000000"/>
                <w:sz w:val="24"/>
              </w:rPr>
              <w:t>服务费计取执行文件</w:t>
            </w:r>
          </w:p>
        </w:tc>
        <w:tc>
          <w:tcPr>
            <w:tcW w:w="1825"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b/>
                <w:bCs/>
                <w:color w:val="000000"/>
                <w:sz w:val="24"/>
              </w:rPr>
            </w:pPr>
            <w:r>
              <w:rPr>
                <w:rFonts w:hint="eastAsia" w:ascii="宋体" w:hAnsi="宋体" w:cs="宋体"/>
                <w:b/>
                <w:bCs/>
                <w:color w:val="000000"/>
                <w:sz w:val="24"/>
              </w:rPr>
              <w:t>投标报价</w:t>
            </w:r>
          </w:p>
          <w:p>
            <w:pPr>
              <w:adjustRightInd w:val="0"/>
              <w:snapToGrid w:val="0"/>
              <w:ind w:left="-88" w:leftChars="-42"/>
              <w:jc w:val="center"/>
              <w:rPr>
                <w:rFonts w:ascii="宋体" w:hAnsi="宋体" w:cs="宋体"/>
                <w:b/>
                <w:bCs/>
                <w:color w:val="000000"/>
                <w:sz w:val="24"/>
              </w:rPr>
            </w:pPr>
            <w:r>
              <w:rPr>
                <w:rFonts w:hint="eastAsia" w:ascii="宋体" w:hAnsi="宋体" w:cs="宋体"/>
                <w:b/>
                <w:bCs/>
                <w:color w:val="000000"/>
                <w:sz w:val="24"/>
              </w:rPr>
              <w:t>（下浮优惠率）</w:t>
            </w:r>
          </w:p>
        </w:tc>
        <w:tc>
          <w:tcPr>
            <w:tcW w:w="1381" w:type="dxa"/>
            <w:tcBorders>
              <w:top w:val="single" w:color="auto" w:sz="4" w:space="0"/>
              <w:left w:val="single" w:color="auto" w:sz="4" w:space="0"/>
              <w:bottom w:val="nil"/>
              <w:right w:val="single" w:color="auto" w:sz="4" w:space="0"/>
            </w:tcBorders>
            <w:vAlign w:val="center"/>
          </w:tcPr>
          <w:p>
            <w:pPr>
              <w:adjustRightInd w:val="0"/>
              <w:snapToGrid w:val="0"/>
              <w:jc w:val="center"/>
              <w:rPr>
                <w:rFonts w:ascii="宋体" w:hAnsi="宋体" w:cs="宋体"/>
                <w:b/>
                <w:bCs/>
                <w:color w:val="000000"/>
                <w:sz w:val="24"/>
              </w:rPr>
            </w:pPr>
            <w:r>
              <w:rPr>
                <w:rFonts w:hint="eastAsia" w:ascii="宋体" w:hAnsi="宋体" w:cs="宋体"/>
                <w:b/>
                <w:bCs/>
                <w:color w:val="000000"/>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59" w:hRule="atLeast"/>
          <w:jc w:val="center"/>
        </w:trPr>
        <w:tc>
          <w:tcPr>
            <w:tcW w:w="958"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color w:val="000000"/>
                <w:sz w:val="24"/>
              </w:rPr>
            </w:pPr>
            <w:r>
              <w:rPr>
                <w:rFonts w:hint="eastAsia" w:ascii="宋体" w:hAnsi="宋体" w:cs="宋体"/>
                <w:color w:val="000000"/>
                <w:sz w:val="24"/>
              </w:rPr>
              <w:t>1</w:t>
            </w:r>
          </w:p>
        </w:tc>
        <w:tc>
          <w:tcPr>
            <w:tcW w:w="2235"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color w:val="000000"/>
                <w:sz w:val="24"/>
              </w:rPr>
            </w:pPr>
            <w:r>
              <w:rPr>
                <w:rFonts w:hint="eastAsia" w:ascii="宋体" w:hAnsi="宋体" w:cs="宋体"/>
                <w:color w:val="auto"/>
                <w:sz w:val="24"/>
                <w:highlight w:val="none"/>
              </w:rPr>
              <w:t>工程设计服务</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color w:val="000000"/>
                <w:sz w:val="24"/>
              </w:rPr>
            </w:pPr>
            <w:r>
              <w:rPr>
                <w:rFonts w:hint="eastAsia" w:ascii="宋体" w:hAnsi="宋体" w:cs="宋体"/>
                <w:color w:val="000000"/>
                <w:kern w:val="0"/>
                <w:sz w:val="24"/>
              </w:rPr>
              <w:t>工程勘察设计收费标准（2002）</w:t>
            </w:r>
          </w:p>
        </w:tc>
        <w:tc>
          <w:tcPr>
            <w:tcW w:w="1825"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color w:val="000000"/>
                <w:sz w:val="24"/>
              </w:rPr>
            </w:pPr>
            <w:r>
              <w:rPr>
                <w:rFonts w:hint="eastAsia" w:ascii="宋体" w:hAnsi="宋体" w:cs="宋体"/>
                <w:color w:val="000000"/>
                <w:sz w:val="24"/>
              </w:rPr>
              <w:t xml:space="preserve">            %       </w:t>
            </w:r>
          </w:p>
        </w:tc>
        <w:tc>
          <w:tcPr>
            <w:tcW w:w="1381"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6" w:hRule="atLeast"/>
          <w:jc w:val="center"/>
        </w:trPr>
        <w:tc>
          <w:tcPr>
            <w:tcW w:w="958"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color w:val="000000"/>
                <w:sz w:val="24"/>
              </w:rPr>
            </w:pPr>
            <w:r>
              <w:rPr>
                <w:rFonts w:hint="eastAsia" w:ascii="宋体" w:hAnsi="宋体" w:cs="宋体"/>
                <w:color w:val="000000"/>
                <w:sz w:val="24"/>
              </w:rPr>
              <w:t>2</w:t>
            </w:r>
          </w:p>
        </w:tc>
        <w:tc>
          <w:tcPr>
            <w:tcW w:w="2235"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eastAsia="宋体" w:cs="宋体"/>
                <w:color w:val="auto"/>
                <w:kern w:val="2"/>
                <w:sz w:val="24"/>
                <w:szCs w:val="24"/>
                <w:highlight w:val="none"/>
                <w:lang w:val="en-US" w:eastAsia="zh-CN" w:bidi="ar-SA"/>
              </w:rPr>
            </w:pP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eastAsia="宋体" w:cs="宋体"/>
                <w:color w:val="auto"/>
                <w:kern w:val="2"/>
                <w:sz w:val="24"/>
                <w:szCs w:val="24"/>
                <w:highlight w:val="none"/>
                <w:lang w:val="en-US" w:eastAsia="zh-CN" w:bidi="ar-SA"/>
              </w:rPr>
            </w:pPr>
          </w:p>
        </w:tc>
        <w:tc>
          <w:tcPr>
            <w:tcW w:w="1825"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color w:val="000000"/>
                <w:sz w:val="24"/>
              </w:rPr>
            </w:pPr>
          </w:p>
        </w:tc>
        <w:tc>
          <w:tcPr>
            <w:tcW w:w="1381"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88" w:leftChars="-42"/>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2" w:hRule="atLeast"/>
          <w:jc w:val="center"/>
        </w:trPr>
        <w:tc>
          <w:tcPr>
            <w:tcW w:w="8964" w:type="dxa"/>
            <w:gridSpan w:val="5"/>
            <w:tcBorders>
              <w:top w:val="single" w:color="auto" w:sz="4" w:space="0"/>
              <w:left w:val="single" w:color="auto" w:sz="4" w:space="0"/>
              <w:bottom w:val="single" w:color="auto" w:sz="4" w:space="0"/>
              <w:right w:val="single" w:color="auto" w:sz="4" w:space="0"/>
            </w:tcBorders>
          </w:tcPr>
          <w:p>
            <w:pPr>
              <w:adjustRightInd w:val="0"/>
              <w:snapToGrid w:val="0"/>
              <w:rPr>
                <w:rFonts w:ascii="宋体" w:hAnsi="宋体" w:cs="宋体"/>
                <w:color w:val="000000"/>
                <w:sz w:val="24"/>
              </w:rPr>
            </w:pPr>
          </w:p>
          <w:p>
            <w:pPr>
              <w:adjustRightInd w:val="0"/>
              <w:snapToGrid w:val="0"/>
              <w:spacing w:line="360" w:lineRule="auto"/>
              <w:rPr>
                <w:color w:val="000000"/>
              </w:rPr>
            </w:pPr>
            <w:r>
              <w:rPr>
                <w:rFonts w:hint="eastAsia"/>
                <w:b/>
                <w:color w:val="000000"/>
                <w:sz w:val="22"/>
              </w:rPr>
              <w:t>注：报价下浮优惠率不得低于20% 。（</w:t>
            </w:r>
            <w:r>
              <w:rPr>
                <w:rStyle w:val="89"/>
                <w:rFonts w:hint="eastAsia" w:ascii="宋体" w:hAnsi="宋体" w:cs="宋体"/>
                <w:b/>
                <w:bCs/>
                <w:color w:val="auto"/>
                <w:sz w:val="24"/>
                <w:highlight w:val="green"/>
                <w:u w:val="none"/>
              </w:rPr>
              <w:t>最高限价：优惠率不低于标准价格的20%，即最高价不得高于标准价格的80%，本次报价是按照优惠率进行报价。</w:t>
            </w:r>
            <w:r>
              <w:rPr>
                <w:rFonts w:hint="eastAsia"/>
                <w:b/>
                <w:color w:val="000000"/>
                <w:sz w:val="22"/>
              </w:rPr>
              <w:t>）</w:t>
            </w:r>
          </w:p>
        </w:tc>
      </w:tr>
    </w:tbl>
    <w:p>
      <w:pPr>
        <w:widowControl/>
        <w:spacing w:line="380" w:lineRule="exact"/>
        <w:jc w:val="left"/>
        <w:rPr>
          <w:rFonts w:ascii="宋体" w:hAnsi="宋体" w:cs="宋体"/>
          <w:color w:val="000000"/>
          <w:sz w:val="24"/>
        </w:rPr>
      </w:pPr>
    </w:p>
    <w:p>
      <w:pPr>
        <w:widowControl/>
        <w:spacing w:line="380" w:lineRule="exact"/>
        <w:jc w:val="left"/>
        <w:rPr>
          <w:rFonts w:ascii="宋体" w:hAnsi="宋体" w:cs="宋体"/>
          <w:color w:val="000000"/>
          <w:sz w:val="24"/>
        </w:rPr>
      </w:pPr>
    </w:p>
    <w:p>
      <w:pPr>
        <w:widowControl/>
        <w:spacing w:line="480" w:lineRule="auto"/>
        <w:jc w:val="left"/>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11"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11"/>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5"/>
        <w:tabs>
          <w:tab w:val="left" w:pos="3420"/>
        </w:tabs>
        <w:rPr>
          <w:rFonts w:ascii="宋体" w:hAnsi="宋体"/>
          <w:bCs/>
          <w:szCs w:val="21"/>
        </w:rPr>
      </w:pPr>
    </w:p>
    <w:p>
      <w:pPr>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pStyle w:val="3"/>
        <w:ind w:firstLine="480"/>
        <w:rPr>
          <w:rFonts w:ascii="宋体" w:hAnsi="宋体"/>
          <w:bCs/>
          <w:color w:val="000000"/>
          <w:szCs w:val="21"/>
        </w:rPr>
      </w:pPr>
    </w:p>
    <w:p>
      <w:pPr>
        <w:pStyle w:val="4"/>
      </w:pPr>
    </w:p>
    <w:p>
      <w:pPr>
        <w:pStyle w:val="4"/>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6"/>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4"/>
        <w:rPr>
          <w:rFonts w:hAnsi="黑体" w:cs="黑体"/>
          <w:b/>
          <w:color w:val="000000"/>
          <w:sz w:val="24"/>
        </w:rPr>
      </w:pPr>
    </w:p>
    <w:p>
      <w:pPr>
        <w:pStyle w:val="4"/>
        <w:rPr>
          <w:rFonts w:hAnsi="黑体" w:cs="黑体"/>
          <w:b/>
          <w:color w:val="000000"/>
          <w:sz w:val="24"/>
        </w:rPr>
      </w:pPr>
    </w:p>
    <w:p>
      <w:pPr>
        <w:pStyle w:val="4"/>
        <w:rPr>
          <w:rFonts w:hAnsi="黑体" w:cs="黑体"/>
          <w:b/>
          <w:color w:val="000000"/>
          <w:sz w:val="24"/>
        </w:rPr>
      </w:pPr>
    </w:p>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2" w:name="OLE_LINK1"/>
      <w:r>
        <w:rPr>
          <w:rFonts w:hint="eastAsia" w:ascii="宋体" w:hAnsi="宋体" w:cs="宋体"/>
          <w:sz w:val="24"/>
        </w:rPr>
        <w:t>盖投标单位公章</w:t>
      </w:r>
      <w:bookmarkEnd w:id="12"/>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4"/>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3" w:name="OLE_LINK3"/>
      <w:r>
        <w:rPr>
          <w:rFonts w:hint="eastAsia" w:ascii="宋体" w:hAnsi="宋体" w:cs="宋体"/>
          <w:sz w:val="24"/>
        </w:rPr>
        <w:t>投标单位</w:t>
      </w:r>
      <w:bookmarkEnd w:id="13"/>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三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109</w:t>
      </w:r>
      <w:r>
        <w:rPr>
          <w:rFonts w:hint="eastAsia" w:ascii="宋体" w:hAnsi="宋体" w:cs="宋体"/>
          <w:sz w:val="24"/>
        </w:rPr>
        <w:t>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对参与比选的投标人进行资格审查后，按比选评分标准对各投标人进行打分，综合得分排名前2名的投标人获得本次比选的中标资格，比选评分标准附后。</w:t>
      </w:r>
    </w:p>
    <w:p>
      <w:pPr>
        <w:pStyle w:val="6"/>
        <w:spacing w:after="0"/>
        <w:jc w:val="center"/>
        <w:rPr>
          <w:rFonts w:ascii="仿宋" w:hAnsi="仿宋" w:eastAsia="仿宋" w:cs="仿宋"/>
          <w:sz w:val="28"/>
          <w:szCs w:val="28"/>
        </w:rPr>
      </w:pPr>
      <w:r>
        <w:rPr>
          <w:rFonts w:hint="eastAsia" w:ascii="仿宋" w:hAnsi="仿宋" w:eastAsia="仿宋" w:cs="仿宋"/>
          <w:b/>
          <w:bCs/>
          <w:sz w:val="28"/>
          <w:szCs w:val="28"/>
        </w:rPr>
        <w:t>比选</w:t>
      </w:r>
      <w:bookmarkStart w:id="14" w:name="_Hlk160818547"/>
      <w:r>
        <w:rPr>
          <w:rFonts w:hint="eastAsia" w:ascii="仿宋" w:hAnsi="仿宋" w:eastAsia="仿宋" w:cs="仿宋"/>
          <w:b/>
          <w:bCs/>
          <w:sz w:val="28"/>
          <w:szCs w:val="28"/>
        </w:rPr>
        <w:t>评分标准</w:t>
      </w:r>
      <w:bookmarkEnd w:id="14"/>
    </w:p>
    <w:tbl>
      <w:tblPr>
        <w:tblStyle w:val="16"/>
        <w:tblW w:w="9915" w:type="dxa"/>
        <w:tblInd w:w="-27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85"/>
        <w:gridCol w:w="1215"/>
        <w:gridCol w:w="666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2400" w:type="dxa"/>
            <w:gridSpan w:val="2"/>
            <w:vAlign w:val="center"/>
          </w:tcPr>
          <w:p>
            <w:pPr>
              <w:topLinePunct/>
              <w:jc w:val="center"/>
              <w:rPr>
                <w:rFonts w:ascii="宋体" w:hAnsi="宋体" w:cs="宋体"/>
                <w:b/>
                <w:bCs/>
                <w:sz w:val="24"/>
              </w:rPr>
            </w:pPr>
            <w:r>
              <w:rPr>
                <w:rFonts w:hint="eastAsia" w:ascii="宋体" w:hAnsi="宋体" w:cs="宋体"/>
                <w:b/>
                <w:bCs/>
                <w:sz w:val="24"/>
              </w:rPr>
              <w:t>项目及分值</w:t>
            </w:r>
          </w:p>
        </w:tc>
        <w:tc>
          <w:tcPr>
            <w:tcW w:w="6660" w:type="dxa"/>
            <w:vAlign w:val="center"/>
          </w:tcPr>
          <w:p>
            <w:pPr>
              <w:topLinePunct/>
              <w:jc w:val="center"/>
              <w:rPr>
                <w:rFonts w:ascii="宋体" w:hAnsi="宋体" w:cs="宋体"/>
                <w:b/>
                <w:bCs/>
                <w:sz w:val="24"/>
              </w:rPr>
            </w:pPr>
            <w:r>
              <w:rPr>
                <w:rFonts w:hint="eastAsia" w:ascii="宋体" w:hAnsi="宋体" w:cs="宋体"/>
                <w:b/>
                <w:bCs/>
                <w:sz w:val="24"/>
              </w:rPr>
              <w:t>评分标准</w:t>
            </w:r>
          </w:p>
        </w:tc>
        <w:tc>
          <w:tcPr>
            <w:tcW w:w="855" w:type="dxa"/>
            <w:vAlign w:val="center"/>
          </w:tcPr>
          <w:p>
            <w:pPr>
              <w:topLinePunct/>
              <w:jc w:val="center"/>
              <w:rPr>
                <w:rFonts w:ascii="宋体" w:hAnsi="宋体" w:cs="宋体"/>
                <w:b/>
                <w:bCs/>
                <w:sz w:val="24"/>
              </w:rPr>
            </w:pPr>
            <w:r>
              <w:rPr>
                <w:rFonts w:hint="eastAsia" w:ascii="宋体" w:hAnsi="宋体" w:cs="宋体"/>
                <w:b/>
                <w:bCs/>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1" w:hRule="atLeast"/>
        </w:trPr>
        <w:tc>
          <w:tcPr>
            <w:tcW w:w="2400" w:type="dxa"/>
            <w:gridSpan w:val="2"/>
            <w:vAlign w:val="center"/>
          </w:tcPr>
          <w:p>
            <w:pPr>
              <w:topLinePunct/>
              <w:spacing w:line="360" w:lineRule="auto"/>
              <w:jc w:val="center"/>
              <w:rPr>
                <w:rFonts w:ascii="宋体" w:hAnsi="宋体" w:cs="宋体"/>
                <w:sz w:val="24"/>
              </w:rPr>
            </w:pPr>
            <w:r>
              <w:rPr>
                <w:rFonts w:hint="eastAsia" w:ascii="宋体" w:hAnsi="宋体" w:cs="宋体"/>
                <w:b/>
                <w:bCs/>
                <w:color w:val="000000"/>
                <w:sz w:val="24"/>
              </w:rPr>
              <w:t>投标报价</w:t>
            </w:r>
            <w:r>
              <w:rPr>
                <w:rFonts w:hint="eastAsia" w:ascii="宋体" w:hAnsi="宋体" w:cs="宋体"/>
                <w:b/>
                <w:bCs/>
                <w:color w:val="auto"/>
                <w:sz w:val="24"/>
              </w:rPr>
              <w:t>50</w:t>
            </w:r>
            <w:r>
              <w:rPr>
                <w:rFonts w:hint="eastAsia" w:ascii="宋体" w:hAnsi="宋体" w:cs="宋体"/>
                <w:b/>
                <w:bCs/>
                <w:color w:val="000000"/>
                <w:sz w:val="24"/>
              </w:rPr>
              <w:t>分</w:t>
            </w:r>
          </w:p>
        </w:tc>
        <w:tc>
          <w:tcPr>
            <w:tcW w:w="6660" w:type="dxa"/>
            <w:vAlign w:val="center"/>
          </w:tcPr>
          <w:p>
            <w:pPr>
              <w:spacing w:line="360" w:lineRule="auto"/>
              <w:jc w:val="left"/>
              <w:rPr>
                <w:rFonts w:ascii="宋体" w:hAnsi="宋体" w:cs="宋体"/>
                <w:sz w:val="24"/>
              </w:rPr>
            </w:pPr>
            <w:r>
              <w:rPr>
                <w:rFonts w:hint="eastAsia" w:ascii="宋体" w:hAnsi="宋体" w:cs="宋体"/>
                <w:sz w:val="24"/>
              </w:rPr>
              <w:t>设计单位以《工程勘察设计收费标准》（2002）文件规定收费标准的80%为基础，报优惠率。最高的投标报价优惠率为评标基准价，其他供应商的价格得分统一按公式计算：</w:t>
            </w:r>
          </w:p>
          <w:p>
            <w:pPr>
              <w:topLinePunct/>
              <w:spacing w:line="360" w:lineRule="auto"/>
              <w:jc w:val="left"/>
              <w:rPr>
                <w:rFonts w:ascii="宋体" w:hAnsi="宋体" w:cs="宋体"/>
                <w:sz w:val="24"/>
              </w:rPr>
            </w:pPr>
            <w:r>
              <w:rPr>
                <w:rFonts w:hint="eastAsia" w:ascii="宋体" w:hAnsi="宋体" w:cs="宋体"/>
                <w:sz w:val="24"/>
              </w:rPr>
              <w:t>投标报价得分＝（投标报价/评标基准价）×50</w:t>
            </w:r>
          </w:p>
        </w:tc>
        <w:tc>
          <w:tcPr>
            <w:tcW w:w="855" w:type="dxa"/>
            <w:vAlign w:val="center"/>
          </w:tcPr>
          <w:p>
            <w:pPr>
              <w:topLinePunct/>
              <w:spacing w:line="360" w:lineRule="auto"/>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2" w:hRule="atLeast"/>
        </w:trPr>
        <w:tc>
          <w:tcPr>
            <w:tcW w:w="1185" w:type="dxa"/>
            <w:vMerge w:val="restart"/>
            <w:vAlign w:val="center"/>
          </w:tcPr>
          <w:p>
            <w:pPr>
              <w:spacing w:line="340" w:lineRule="exact"/>
              <w:jc w:val="center"/>
              <w:rPr>
                <w:rFonts w:ascii="宋体" w:hAnsi="宋体" w:cs="宋体"/>
                <w:b/>
                <w:bCs/>
                <w:color w:val="000000"/>
                <w:sz w:val="24"/>
              </w:rPr>
            </w:pPr>
            <w:r>
              <w:rPr>
                <w:rFonts w:hint="eastAsia" w:ascii="宋体" w:hAnsi="宋体" w:cs="宋体"/>
                <w:b/>
                <w:bCs/>
                <w:color w:val="000000"/>
                <w:sz w:val="24"/>
              </w:rPr>
              <w:t>商务部分</w:t>
            </w:r>
          </w:p>
          <w:p>
            <w:pPr>
              <w:spacing w:line="340" w:lineRule="exact"/>
              <w:jc w:val="center"/>
              <w:rPr>
                <w:rFonts w:ascii="宋体" w:hAnsi="宋体" w:cs="宋体"/>
                <w:sz w:val="24"/>
              </w:rPr>
            </w:pPr>
            <w:r>
              <w:rPr>
                <w:rFonts w:hint="eastAsia" w:ascii="宋体" w:hAnsi="宋体" w:cs="宋体"/>
                <w:b/>
                <w:bCs/>
                <w:color w:val="000000"/>
                <w:sz w:val="24"/>
              </w:rPr>
              <w:t>30分</w:t>
            </w:r>
          </w:p>
        </w:tc>
        <w:tc>
          <w:tcPr>
            <w:tcW w:w="1215" w:type="dxa"/>
            <w:vAlign w:val="center"/>
          </w:tcPr>
          <w:p>
            <w:pPr>
              <w:topLinePunct/>
              <w:spacing w:line="360" w:lineRule="auto"/>
              <w:jc w:val="center"/>
              <w:rPr>
                <w:rFonts w:ascii="宋体" w:hAnsi="宋体" w:cs="宋体"/>
                <w:sz w:val="24"/>
              </w:rPr>
            </w:pPr>
            <w:r>
              <w:rPr>
                <w:rFonts w:hint="eastAsia" w:ascii="宋体" w:hAnsi="宋体" w:cs="宋体"/>
                <w:sz w:val="24"/>
              </w:rPr>
              <w:t>人员配备</w:t>
            </w:r>
          </w:p>
          <w:p>
            <w:pPr>
              <w:topLinePunct/>
              <w:spacing w:line="360" w:lineRule="auto"/>
              <w:jc w:val="center"/>
              <w:rPr>
                <w:rFonts w:ascii="宋体" w:hAnsi="宋体" w:cs="宋体"/>
                <w:sz w:val="24"/>
              </w:rPr>
            </w:pPr>
            <w:r>
              <w:rPr>
                <w:rFonts w:hint="eastAsia" w:ascii="宋体" w:hAnsi="宋体" w:cs="宋体"/>
                <w:sz w:val="24"/>
              </w:rPr>
              <w:t>（15分）</w:t>
            </w:r>
          </w:p>
        </w:tc>
        <w:tc>
          <w:tcPr>
            <w:tcW w:w="6660" w:type="dxa"/>
            <w:vAlign w:val="center"/>
          </w:tcPr>
          <w:p>
            <w:pPr>
              <w:numPr>
                <w:ilvl w:val="0"/>
                <w:numId w:val="3"/>
              </w:numPr>
              <w:topLinePunct/>
              <w:spacing w:line="360" w:lineRule="auto"/>
              <w:jc w:val="left"/>
              <w:rPr>
                <w:rFonts w:ascii="宋体" w:hAnsi="宋体" w:cs="宋体"/>
                <w:sz w:val="24"/>
              </w:rPr>
            </w:pPr>
            <w:r>
              <w:rPr>
                <w:rFonts w:hint="eastAsia" w:ascii="宋体" w:hAnsi="宋体" w:cs="宋体"/>
                <w:sz w:val="24"/>
              </w:rPr>
              <w:t>拟任项目负责人具备建筑、室内设计专业中级工程师职称证书或中国建筑、室内装饰等相关部门或协会颁发的高级室内建筑师或高级室内设计师资格证书</w:t>
            </w:r>
            <w:r>
              <w:rPr>
                <w:rFonts w:hint="eastAsia" w:ascii="宋体" w:hAnsi="宋体" w:cs="宋体"/>
                <w:color w:val="000000"/>
                <w:kern w:val="0"/>
                <w:sz w:val="24"/>
                <w:lang w:bidi="ar"/>
              </w:rPr>
              <w:t>、</w:t>
            </w:r>
            <w:r>
              <w:rPr>
                <w:rFonts w:hint="eastAsia" w:ascii="宋体" w:hAnsi="宋体" w:cs="宋体"/>
                <w:sz w:val="24"/>
              </w:rPr>
              <w:t>一级注册建筑师执业资格的，每个计3分，最多计6分。</w:t>
            </w:r>
          </w:p>
          <w:p>
            <w:pPr>
              <w:pStyle w:val="2"/>
            </w:pPr>
            <w:r>
              <w:rPr>
                <w:rFonts w:hint="eastAsia" w:ascii="宋体" w:hAnsi="宋体" w:cs="宋体"/>
                <w:b w:val="0"/>
                <w:bCs w:val="0"/>
                <w:szCs w:val="24"/>
              </w:rPr>
              <w:t>2、拟任本项目团队人员（除项目负责人外）具备建筑、室内设计专业中级工程师职称证书或中国建筑、室内装饰等相关部门或协会颁发的中级室内建筑师或中级室内设计师资格证书的，每个计1.5分，最多计9分。</w:t>
            </w:r>
            <w:r>
              <w:rPr>
                <w:rFonts w:hint="eastAsia" w:ascii="宋体" w:hAnsi="宋体" w:cs="宋体"/>
                <w:szCs w:val="24"/>
              </w:rPr>
              <w:t>（须提供相关证书复印件、</w:t>
            </w:r>
            <w:r>
              <w:rPr>
                <w:rFonts w:hint="eastAsia" w:ascii="宋体" w:hAnsi="宋体" w:cs="宋体"/>
                <w:color w:val="auto"/>
                <w:szCs w:val="24"/>
              </w:rPr>
              <w:t>身份证复印件、</w:t>
            </w:r>
            <w:r>
              <w:rPr>
                <w:rFonts w:hint="eastAsia" w:ascii="宋体" w:hAnsi="宋体" w:cs="宋体"/>
                <w:szCs w:val="24"/>
              </w:rPr>
              <w:t>以及为其缴纳的近半年内任意连续三个月养老保险证明材料复印件并加盖公章）。</w:t>
            </w:r>
          </w:p>
        </w:tc>
        <w:tc>
          <w:tcPr>
            <w:tcW w:w="855" w:type="dxa"/>
            <w:vAlign w:val="center"/>
          </w:tcPr>
          <w:p>
            <w:pPr>
              <w:topLinePunct/>
              <w:spacing w:line="360" w:lineRule="auto"/>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19" w:hRule="atLeast"/>
        </w:trPr>
        <w:tc>
          <w:tcPr>
            <w:tcW w:w="1185" w:type="dxa"/>
            <w:vMerge w:val="continue"/>
            <w:vAlign w:val="center"/>
          </w:tcPr>
          <w:p>
            <w:pPr>
              <w:topLinePunct/>
              <w:spacing w:line="360" w:lineRule="auto"/>
              <w:ind w:firstLine="240" w:firstLineChars="100"/>
              <w:jc w:val="center"/>
              <w:rPr>
                <w:rFonts w:ascii="宋体" w:hAnsi="宋体" w:cs="宋体"/>
                <w:sz w:val="24"/>
              </w:rPr>
            </w:pPr>
          </w:p>
        </w:tc>
        <w:tc>
          <w:tcPr>
            <w:tcW w:w="1215" w:type="dxa"/>
            <w:vAlign w:val="center"/>
          </w:tcPr>
          <w:p>
            <w:pPr>
              <w:topLinePunct/>
              <w:spacing w:line="360" w:lineRule="auto"/>
              <w:rPr>
                <w:rFonts w:ascii="宋体" w:hAnsi="宋体" w:cs="宋体"/>
                <w:sz w:val="24"/>
              </w:rPr>
            </w:pPr>
            <w:r>
              <w:rPr>
                <w:rFonts w:hint="eastAsia" w:ascii="宋体" w:hAnsi="宋体" w:cs="宋体"/>
                <w:sz w:val="24"/>
              </w:rPr>
              <w:t>业  绩</w:t>
            </w:r>
          </w:p>
          <w:p>
            <w:pPr>
              <w:topLinePunct/>
              <w:spacing w:line="360" w:lineRule="auto"/>
              <w:rPr>
                <w:rFonts w:ascii="宋体" w:hAnsi="宋体" w:cs="宋体"/>
                <w:sz w:val="24"/>
              </w:rPr>
            </w:pPr>
            <w:r>
              <w:rPr>
                <w:rFonts w:hint="eastAsia" w:ascii="宋体" w:hAnsi="宋体" w:cs="宋体"/>
                <w:sz w:val="24"/>
              </w:rPr>
              <w:t>(15分)</w:t>
            </w:r>
          </w:p>
        </w:tc>
        <w:tc>
          <w:tcPr>
            <w:tcW w:w="6660" w:type="dxa"/>
          </w:tcPr>
          <w:p>
            <w:pPr>
              <w:spacing w:line="360" w:lineRule="auto"/>
              <w:jc w:val="left"/>
              <w:rPr>
                <w:rFonts w:ascii="宋体" w:hAnsi="宋体" w:cs="宋体"/>
                <w:sz w:val="24"/>
              </w:rPr>
            </w:pPr>
            <w:r>
              <w:rPr>
                <w:rFonts w:hint="eastAsia" w:ascii="宋体" w:hAnsi="宋体" w:cs="宋体"/>
                <w:sz w:val="24"/>
              </w:rPr>
              <w:t>根据投标供应商近三年（以提交投标文件截止时间前 36 个月内为有效）完成过的类似设计业绩进行评价,每提供一个类似业绩的计3分，满分为15分。</w:t>
            </w:r>
          </w:p>
          <w:p>
            <w:pPr>
              <w:spacing w:line="360" w:lineRule="auto"/>
              <w:jc w:val="left"/>
              <w:rPr>
                <w:rFonts w:ascii="宋体" w:hAnsi="宋体" w:cs="宋体"/>
                <w:sz w:val="24"/>
              </w:rPr>
            </w:pPr>
            <w:r>
              <w:rPr>
                <w:rFonts w:hint="eastAsia" w:ascii="宋体" w:hAnsi="宋体" w:cs="宋体"/>
                <w:sz w:val="24"/>
              </w:rPr>
              <w:t>（投标文件中提供类似业绩合同或中标通知书复印件并加盖单位公章，否则不计分）。</w:t>
            </w:r>
          </w:p>
        </w:tc>
        <w:tc>
          <w:tcPr>
            <w:tcW w:w="855" w:type="dxa"/>
            <w:vAlign w:val="center"/>
          </w:tcPr>
          <w:p>
            <w:pPr>
              <w:topLinePunct/>
              <w:spacing w:line="360" w:lineRule="auto"/>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atLeast"/>
        </w:trPr>
        <w:tc>
          <w:tcPr>
            <w:tcW w:w="1185" w:type="dxa"/>
            <w:vMerge w:val="restart"/>
            <w:vAlign w:val="center"/>
          </w:tcPr>
          <w:p>
            <w:pPr>
              <w:topLinePunct/>
              <w:spacing w:line="360" w:lineRule="auto"/>
              <w:jc w:val="center"/>
              <w:rPr>
                <w:rFonts w:ascii="宋体" w:hAnsi="宋体" w:cs="宋体"/>
                <w:sz w:val="24"/>
              </w:rPr>
            </w:pPr>
            <w:r>
              <w:rPr>
                <w:rFonts w:hint="eastAsia" w:ascii="宋体" w:hAnsi="宋体" w:cs="宋体"/>
                <w:b/>
                <w:bCs/>
                <w:color w:val="000000"/>
                <w:sz w:val="24"/>
              </w:rPr>
              <w:t>技术部分</w:t>
            </w:r>
            <w:r>
              <w:rPr>
                <w:rFonts w:hint="eastAsia" w:ascii="宋体" w:hAnsi="宋体" w:cs="宋体"/>
                <w:b/>
                <w:bCs/>
                <w:color w:val="auto"/>
                <w:sz w:val="24"/>
              </w:rPr>
              <w:t>20</w:t>
            </w:r>
            <w:r>
              <w:rPr>
                <w:rFonts w:hint="eastAsia" w:ascii="宋体" w:hAnsi="宋体" w:cs="宋体"/>
                <w:b/>
                <w:bCs/>
                <w:color w:val="000000"/>
                <w:sz w:val="24"/>
              </w:rPr>
              <w:t>分</w:t>
            </w:r>
          </w:p>
        </w:tc>
        <w:tc>
          <w:tcPr>
            <w:tcW w:w="1215" w:type="dxa"/>
            <w:vAlign w:val="center"/>
          </w:tcPr>
          <w:p>
            <w:pPr>
              <w:topLinePunct/>
              <w:spacing w:line="360" w:lineRule="auto"/>
              <w:rPr>
                <w:rFonts w:ascii="宋体" w:hAnsi="宋体" w:cs="宋体"/>
                <w:sz w:val="24"/>
              </w:rPr>
            </w:pPr>
          </w:p>
          <w:p>
            <w:pPr>
              <w:topLinePunct/>
              <w:spacing w:line="360" w:lineRule="auto"/>
              <w:jc w:val="center"/>
              <w:rPr>
                <w:rFonts w:ascii="宋体" w:hAnsi="宋体" w:cs="宋体"/>
                <w:sz w:val="24"/>
              </w:rPr>
            </w:pPr>
            <w:r>
              <w:rPr>
                <w:rFonts w:hint="eastAsia" w:ascii="宋体" w:hAnsi="宋体" w:cs="宋体"/>
                <w:sz w:val="24"/>
              </w:rPr>
              <w:t>设计质量及保证措施（12分）</w:t>
            </w:r>
          </w:p>
        </w:tc>
        <w:tc>
          <w:tcPr>
            <w:tcW w:w="6660" w:type="dxa"/>
            <w:vAlign w:val="center"/>
          </w:tcPr>
          <w:p>
            <w:pPr>
              <w:topLinePunct/>
              <w:spacing w:line="360" w:lineRule="auto"/>
              <w:jc w:val="left"/>
              <w:rPr>
                <w:rFonts w:ascii="宋体" w:hAnsi="宋体" w:cs="宋体"/>
                <w:sz w:val="24"/>
              </w:rPr>
            </w:pPr>
            <w:r>
              <w:rPr>
                <w:rFonts w:hint="eastAsia" w:ascii="宋体" w:hAnsi="宋体" w:cs="宋体"/>
                <w:sz w:val="24"/>
              </w:rPr>
              <w:t>根据投标供应商提供的设计质量及保证措施：在符合相关设计标准和规范的前提下，满足实际需求、解决实际问题；具有创新性，达到所需的设计深度和精度；有科学完善的设计质量保证措施，包括设计审核、校对、验证等环节；有完善的质量保证体系和组织架构的；完全满足上述要求的计12分。</w:t>
            </w:r>
          </w:p>
          <w:p>
            <w:pPr>
              <w:topLinePunct/>
              <w:spacing w:line="360" w:lineRule="auto"/>
              <w:jc w:val="left"/>
              <w:rPr>
                <w:rFonts w:ascii="宋体" w:hAnsi="宋体" w:cs="宋体"/>
                <w:sz w:val="24"/>
              </w:rPr>
            </w:pPr>
            <w:r>
              <w:rPr>
                <w:rFonts w:hint="eastAsia" w:ascii="宋体" w:hAnsi="宋体" w:cs="宋体"/>
                <w:sz w:val="24"/>
              </w:rPr>
              <w:t>每有一项有缺失的扣3分，每有一项不完整或不合理的扣1.5分，扣完为止，未提供的不计分。（注：不完整或不合理是指内容具有明显缺陷、存在逻辑漏洞、前后内容无法连贯、脱离了实际情况、适用性差以及与本项目无关等情况。）</w:t>
            </w:r>
          </w:p>
        </w:tc>
        <w:tc>
          <w:tcPr>
            <w:tcW w:w="855" w:type="dxa"/>
            <w:vAlign w:val="center"/>
          </w:tcPr>
          <w:p>
            <w:pPr>
              <w:topLinePunct/>
              <w:spacing w:line="360" w:lineRule="auto"/>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atLeast"/>
        </w:trPr>
        <w:tc>
          <w:tcPr>
            <w:tcW w:w="1185" w:type="dxa"/>
            <w:vMerge w:val="continue"/>
            <w:vAlign w:val="center"/>
          </w:tcPr>
          <w:p>
            <w:pPr>
              <w:topLinePunct/>
              <w:spacing w:line="360" w:lineRule="auto"/>
              <w:jc w:val="center"/>
              <w:rPr>
                <w:rFonts w:ascii="宋体" w:hAnsi="宋体" w:cs="宋体"/>
                <w:sz w:val="24"/>
              </w:rPr>
            </w:pPr>
          </w:p>
        </w:tc>
        <w:tc>
          <w:tcPr>
            <w:tcW w:w="1215" w:type="dxa"/>
            <w:vAlign w:val="center"/>
          </w:tcPr>
          <w:p>
            <w:pPr>
              <w:topLinePunct/>
              <w:spacing w:line="360" w:lineRule="auto"/>
              <w:jc w:val="center"/>
              <w:rPr>
                <w:rFonts w:ascii="宋体" w:hAnsi="宋体" w:cs="宋体"/>
                <w:sz w:val="24"/>
              </w:rPr>
            </w:pPr>
            <w:r>
              <w:rPr>
                <w:rFonts w:hint="eastAsia" w:ascii="宋体" w:hAnsi="宋体" w:cs="宋体"/>
                <w:sz w:val="24"/>
              </w:rPr>
              <w:t>设计安全及保密等保证措施</w:t>
            </w:r>
          </w:p>
          <w:p>
            <w:pPr>
              <w:topLinePunct/>
              <w:spacing w:line="360" w:lineRule="auto"/>
              <w:jc w:val="center"/>
              <w:rPr>
                <w:rFonts w:ascii="宋体" w:hAnsi="宋体" w:cs="宋体"/>
                <w:sz w:val="24"/>
              </w:rPr>
            </w:pPr>
            <w:r>
              <w:rPr>
                <w:rFonts w:hint="eastAsia" w:ascii="宋体" w:hAnsi="宋体" w:cs="宋体"/>
                <w:kern w:val="0"/>
                <w:sz w:val="24"/>
              </w:rPr>
              <w:t>（8分）</w:t>
            </w:r>
          </w:p>
        </w:tc>
        <w:tc>
          <w:tcPr>
            <w:tcW w:w="6660" w:type="dxa"/>
            <w:vAlign w:val="center"/>
          </w:tcPr>
          <w:p>
            <w:pPr>
              <w:topLinePunct/>
              <w:spacing w:line="360" w:lineRule="auto"/>
              <w:jc w:val="left"/>
              <w:rPr>
                <w:rFonts w:ascii="宋体" w:hAnsi="宋体" w:cs="宋体"/>
                <w:sz w:val="24"/>
              </w:rPr>
            </w:pPr>
            <w:r>
              <w:rPr>
                <w:rFonts w:hint="eastAsia" w:ascii="宋体" w:hAnsi="宋体" w:cs="宋体"/>
                <w:sz w:val="24"/>
              </w:rPr>
              <w:t>根据投标供应商提供的设计安全及保密等保证措施：设计安全、保密保证系健全、设计工作制度完备、保障措施齐全合理的得8分。</w:t>
            </w:r>
          </w:p>
          <w:p>
            <w:pPr>
              <w:topLinePunct/>
              <w:spacing w:line="360" w:lineRule="auto"/>
              <w:jc w:val="left"/>
              <w:rPr>
                <w:rFonts w:ascii="宋体" w:hAnsi="宋体" w:cs="宋体"/>
                <w:sz w:val="24"/>
              </w:rPr>
            </w:pPr>
            <w:r>
              <w:rPr>
                <w:rFonts w:hint="eastAsia" w:ascii="宋体" w:hAnsi="宋体" w:cs="宋体"/>
                <w:sz w:val="24"/>
              </w:rPr>
              <w:t>方案中每有一项有缺失的扣2分，每有一项不完整或不合理的扣1分，扣完为止，未提供的不计分。（注：不完整或不合理是指内容具有明显缺陷、存在逻辑漏洞、前后内容无法连贯、脱离了与该项目的实际情况、适用性差以及与本项目无关等情况。）</w:t>
            </w:r>
          </w:p>
        </w:tc>
        <w:tc>
          <w:tcPr>
            <w:tcW w:w="855" w:type="dxa"/>
            <w:vAlign w:val="center"/>
          </w:tcPr>
          <w:p>
            <w:pPr>
              <w:topLinePunct/>
              <w:spacing w:line="360" w:lineRule="auto"/>
              <w:jc w:val="center"/>
              <w:rPr>
                <w:rFonts w:ascii="宋体" w:hAnsi="宋体" w:cs="宋体"/>
                <w:sz w:val="24"/>
              </w:rPr>
            </w:pP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A35B4C"/>
    <w:multiLevelType w:val="singleLevel"/>
    <w:tmpl w:val="56A35B4C"/>
    <w:lvl w:ilvl="0" w:tentative="0">
      <w:start w:val="1"/>
      <w:numFmt w:val="decimal"/>
      <w:suff w:val="nothing"/>
      <w:lvlText w:val="%1、"/>
      <w:lvlJc w:val="left"/>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1MjdiZDgzNmRlYmRjNzRiMTE3MzNlMjZkNzhmMWUifQ=="/>
  </w:docVars>
  <w:rsids>
    <w:rsidRoot w:val="007C7C41"/>
    <w:rsid w:val="0002432A"/>
    <w:rsid w:val="00026832"/>
    <w:rsid w:val="0004220C"/>
    <w:rsid w:val="000B4AC9"/>
    <w:rsid w:val="000C2AAD"/>
    <w:rsid w:val="000C4FCD"/>
    <w:rsid w:val="000C7B07"/>
    <w:rsid w:val="000D17C4"/>
    <w:rsid w:val="000D2C1F"/>
    <w:rsid w:val="000E208E"/>
    <w:rsid w:val="000E22D8"/>
    <w:rsid w:val="000E2FCA"/>
    <w:rsid w:val="000E3EB7"/>
    <w:rsid w:val="000E6B0E"/>
    <w:rsid w:val="000F59A8"/>
    <w:rsid w:val="00103E0F"/>
    <w:rsid w:val="001041D4"/>
    <w:rsid w:val="001111B1"/>
    <w:rsid w:val="001112DE"/>
    <w:rsid w:val="00113DE3"/>
    <w:rsid w:val="001229C1"/>
    <w:rsid w:val="001378A6"/>
    <w:rsid w:val="001407DC"/>
    <w:rsid w:val="00147AE1"/>
    <w:rsid w:val="001508AD"/>
    <w:rsid w:val="00176BAF"/>
    <w:rsid w:val="001819C1"/>
    <w:rsid w:val="00185494"/>
    <w:rsid w:val="0019333A"/>
    <w:rsid w:val="001B2139"/>
    <w:rsid w:val="001C3297"/>
    <w:rsid w:val="001D36D3"/>
    <w:rsid w:val="001F5991"/>
    <w:rsid w:val="001F7DBC"/>
    <w:rsid w:val="00202942"/>
    <w:rsid w:val="002053A9"/>
    <w:rsid w:val="00206640"/>
    <w:rsid w:val="00220D7A"/>
    <w:rsid w:val="0023261F"/>
    <w:rsid w:val="00265E3A"/>
    <w:rsid w:val="00266420"/>
    <w:rsid w:val="002802E5"/>
    <w:rsid w:val="002837F0"/>
    <w:rsid w:val="00285835"/>
    <w:rsid w:val="00291B18"/>
    <w:rsid w:val="002A4AE2"/>
    <w:rsid w:val="002B187F"/>
    <w:rsid w:val="002B2B07"/>
    <w:rsid w:val="002C024E"/>
    <w:rsid w:val="002C2671"/>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47B4"/>
    <w:rsid w:val="004A4A1C"/>
    <w:rsid w:val="004B69EE"/>
    <w:rsid w:val="004C683A"/>
    <w:rsid w:val="004D1E1D"/>
    <w:rsid w:val="004D35B2"/>
    <w:rsid w:val="004D683E"/>
    <w:rsid w:val="004E1784"/>
    <w:rsid w:val="004E1F26"/>
    <w:rsid w:val="004E7358"/>
    <w:rsid w:val="004F3BA6"/>
    <w:rsid w:val="005038C5"/>
    <w:rsid w:val="00507808"/>
    <w:rsid w:val="005206B0"/>
    <w:rsid w:val="00521121"/>
    <w:rsid w:val="005279A6"/>
    <w:rsid w:val="00534A9A"/>
    <w:rsid w:val="005421CC"/>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524"/>
    <w:rsid w:val="006377EA"/>
    <w:rsid w:val="0065340C"/>
    <w:rsid w:val="00655E0C"/>
    <w:rsid w:val="0068371B"/>
    <w:rsid w:val="006A056B"/>
    <w:rsid w:val="006B274D"/>
    <w:rsid w:val="006B5265"/>
    <w:rsid w:val="006C0664"/>
    <w:rsid w:val="006E407C"/>
    <w:rsid w:val="006F43C4"/>
    <w:rsid w:val="00700865"/>
    <w:rsid w:val="00706CE7"/>
    <w:rsid w:val="00712128"/>
    <w:rsid w:val="00712F84"/>
    <w:rsid w:val="007154F1"/>
    <w:rsid w:val="00722BBF"/>
    <w:rsid w:val="00731F69"/>
    <w:rsid w:val="00750DC3"/>
    <w:rsid w:val="00773AC8"/>
    <w:rsid w:val="00785A55"/>
    <w:rsid w:val="007A6C65"/>
    <w:rsid w:val="007B01B3"/>
    <w:rsid w:val="007B05D1"/>
    <w:rsid w:val="007C7C41"/>
    <w:rsid w:val="007D2559"/>
    <w:rsid w:val="007D4892"/>
    <w:rsid w:val="007D6D66"/>
    <w:rsid w:val="007D6E0E"/>
    <w:rsid w:val="007E0833"/>
    <w:rsid w:val="00801062"/>
    <w:rsid w:val="00810469"/>
    <w:rsid w:val="00813A79"/>
    <w:rsid w:val="00825689"/>
    <w:rsid w:val="00826C2A"/>
    <w:rsid w:val="008655EF"/>
    <w:rsid w:val="00870587"/>
    <w:rsid w:val="00877D26"/>
    <w:rsid w:val="00885372"/>
    <w:rsid w:val="00885BB1"/>
    <w:rsid w:val="008A10B6"/>
    <w:rsid w:val="008A5D13"/>
    <w:rsid w:val="008B48B2"/>
    <w:rsid w:val="008E54DB"/>
    <w:rsid w:val="008E66EB"/>
    <w:rsid w:val="00903C20"/>
    <w:rsid w:val="00906CC5"/>
    <w:rsid w:val="00921051"/>
    <w:rsid w:val="00927127"/>
    <w:rsid w:val="009368D3"/>
    <w:rsid w:val="00937D1C"/>
    <w:rsid w:val="00951FAE"/>
    <w:rsid w:val="00961C65"/>
    <w:rsid w:val="00965F15"/>
    <w:rsid w:val="009754C8"/>
    <w:rsid w:val="009A1D1C"/>
    <w:rsid w:val="009B35B4"/>
    <w:rsid w:val="009B5FB6"/>
    <w:rsid w:val="009F136A"/>
    <w:rsid w:val="009F30ED"/>
    <w:rsid w:val="00A12750"/>
    <w:rsid w:val="00A16F7A"/>
    <w:rsid w:val="00A20E43"/>
    <w:rsid w:val="00A23BA5"/>
    <w:rsid w:val="00A35BB7"/>
    <w:rsid w:val="00A37FF5"/>
    <w:rsid w:val="00A5392D"/>
    <w:rsid w:val="00A53A34"/>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6748"/>
    <w:rsid w:val="00B7493C"/>
    <w:rsid w:val="00B81ED0"/>
    <w:rsid w:val="00B87532"/>
    <w:rsid w:val="00B931B4"/>
    <w:rsid w:val="00BA2B80"/>
    <w:rsid w:val="00BB0BBD"/>
    <w:rsid w:val="00BD0325"/>
    <w:rsid w:val="00BE0D00"/>
    <w:rsid w:val="00BE125F"/>
    <w:rsid w:val="00BF5E60"/>
    <w:rsid w:val="00C10E71"/>
    <w:rsid w:val="00C56430"/>
    <w:rsid w:val="00C73F58"/>
    <w:rsid w:val="00CA2BEB"/>
    <w:rsid w:val="00CB7695"/>
    <w:rsid w:val="00CC512E"/>
    <w:rsid w:val="00CC68B0"/>
    <w:rsid w:val="00CD6C9C"/>
    <w:rsid w:val="00CF1803"/>
    <w:rsid w:val="00D069B4"/>
    <w:rsid w:val="00D159D5"/>
    <w:rsid w:val="00D1625A"/>
    <w:rsid w:val="00D379A2"/>
    <w:rsid w:val="00D42DED"/>
    <w:rsid w:val="00D70A69"/>
    <w:rsid w:val="00D80103"/>
    <w:rsid w:val="00D85CA0"/>
    <w:rsid w:val="00D93253"/>
    <w:rsid w:val="00D9421F"/>
    <w:rsid w:val="00DA061F"/>
    <w:rsid w:val="00DA340E"/>
    <w:rsid w:val="00DA67B2"/>
    <w:rsid w:val="00DB2CAE"/>
    <w:rsid w:val="00DB5AB0"/>
    <w:rsid w:val="00DF2E12"/>
    <w:rsid w:val="00E17DCF"/>
    <w:rsid w:val="00E17F55"/>
    <w:rsid w:val="00E250FD"/>
    <w:rsid w:val="00E271E4"/>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10332"/>
    <w:rsid w:val="00F43369"/>
    <w:rsid w:val="00F74538"/>
    <w:rsid w:val="00F7673C"/>
    <w:rsid w:val="00F87DB3"/>
    <w:rsid w:val="00F93939"/>
    <w:rsid w:val="00FB34C2"/>
    <w:rsid w:val="00FB54AC"/>
    <w:rsid w:val="00FB6547"/>
    <w:rsid w:val="00FB69EE"/>
    <w:rsid w:val="00FB6DDB"/>
    <w:rsid w:val="00FB71AB"/>
    <w:rsid w:val="00FB7D38"/>
    <w:rsid w:val="00FC53F2"/>
    <w:rsid w:val="00FE2A63"/>
    <w:rsid w:val="00FF2603"/>
    <w:rsid w:val="024018DF"/>
    <w:rsid w:val="04114082"/>
    <w:rsid w:val="059E5B44"/>
    <w:rsid w:val="06C9325F"/>
    <w:rsid w:val="11AA79EB"/>
    <w:rsid w:val="12476873"/>
    <w:rsid w:val="145F6D78"/>
    <w:rsid w:val="15DD1DF8"/>
    <w:rsid w:val="1C0E2CEB"/>
    <w:rsid w:val="1CB15175"/>
    <w:rsid w:val="1D2642A2"/>
    <w:rsid w:val="1E6A6074"/>
    <w:rsid w:val="24AC4A25"/>
    <w:rsid w:val="281C6025"/>
    <w:rsid w:val="2A166BC1"/>
    <w:rsid w:val="2D6F69C0"/>
    <w:rsid w:val="36993C98"/>
    <w:rsid w:val="36A42976"/>
    <w:rsid w:val="371A4C8C"/>
    <w:rsid w:val="3744399B"/>
    <w:rsid w:val="38136454"/>
    <w:rsid w:val="3B0F6ACC"/>
    <w:rsid w:val="3BEE6177"/>
    <w:rsid w:val="3D422619"/>
    <w:rsid w:val="40E616BA"/>
    <w:rsid w:val="4349552E"/>
    <w:rsid w:val="4390748B"/>
    <w:rsid w:val="45EE264F"/>
    <w:rsid w:val="47EE40E5"/>
    <w:rsid w:val="47F87C39"/>
    <w:rsid w:val="49FF0303"/>
    <w:rsid w:val="507A645F"/>
    <w:rsid w:val="521A0355"/>
    <w:rsid w:val="53B31AE1"/>
    <w:rsid w:val="54F16ABB"/>
    <w:rsid w:val="586340B6"/>
    <w:rsid w:val="597B5CF8"/>
    <w:rsid w:val="5D7E5824"/>
    <w:rsid w:val="5E831422"/>
    <w:rsid w:val="645E6340"/>
    <w:rsid w:val="665146E0"/>
    <w:rsid w:val="68320EBE"/>
    <w:rsid w:val="68840209"/>
    <w:rsid w:val="696372E0"/>
    <w:rsid w:val="6CCB679F"/>
    <w:rsid w:val="70E77658"/>
    <w:rsid w:val="76A0780E"/>
    <w:rsid w:val="7D415502"/>
    <w:rsid w:val="7EC11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83"/>
    <w:autoRedefine/>
    <w:qFormat/>
    <w:uiPriority w:val="0"/>
    <w:pPr>
      <w:keepNext/>
      <w:keepLines/>
      <w:spacing w:line="360" w:lineRule="auto"/>
      <w:outlineLvl w:val="1"/>
    </w:pPr>
    <w:rPr>
      <w:rFonts w:ascii="Arial" w:hAnsi="Arial"/>
      <w:b/>
      <w:bCs/>
      <w:sz w:val="24"/>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next w:val="4"/>
    <w:autoRedefine/>
    <w:qFormat/>
    <w:uiPriority w:val="0"/>
    <w:pPr>
      <w:ind w:firstLine="420" w:firstLineChars="200"/>
    </w:pPr>
    <w:rPr>
      <w:rFonts w:ascii="Calibri" w:hAnsi="Calibri"/>
      <w:sz w:val="24"/>
      <w:szCs w:val="22"/>
    </w:rPr>
  </w:style>
  <w:style w:type="paragraph" w:customStyle="1" w:styleId="4">
    <w:name w:val="Default"/>
    <w:next w:val="1"/>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5">
    <w:name w:val="annotation text"/>
    <w:basedOn w:val="1"/>
    <w:link w:val="87"/>
    <w:autoRedefine/>
    <w:semiHidden/>
    <w:unhideWhenUsed/>
    <w:qFormat/>
    <w:uiPriority w:val="0"/>
    <w:pPr>
      <w:jc w:val="left"/>
    </w:pPr>
  </w:style>
  <w:style w:type="paragraph" w:styleId="6">
    <w:name w:val="Body Text"/>
    <w:basedOn w:val="1"/>
    <w:next w:val="4"/>
    <w:link w:val="84"/>
    <w:autoRedefine/>
    <w:qFormat/>
    <w:uiPriority w:val="0"/>
    <w:pPr>
      <w:spacing w:after="120"/>
    </w:pPr>
  </w:style>
  <w:style w:type="paragraph" w:styleId="7">
    <w:name w:val="Body Text Indent"/>
    <w:basedOn w:val="1"/>
    <w:link w:val="79"/>
    <w:autoRedefine/>
    <w:qFormat/>
    <w:uiPriority w:val="0"/>
    <w:pPr>
      <w:adjustRightInd w:val="0"/>
      <w:snapToGrid w:val="0"/>
      <w:spacing w:line="360" w:lineRule="atLeast"/>
      <w:ind w:firstLine="480"/>
    </w:pPr>
    <w:rPr>
      <w:sz w:val="24"/>
    </w:rPr>
  </w:style>
  <w:style w:type="paragraph" w:styleId="8">
    <w:name w:val="Balloon Text"/>
    <w:basedOn w:val="1"/>
    <w:autoRedefine/>
    <w:semiHidden/>
    <w:qFormat/>
    <w:uiPriority w:val="0"/>
    <w:rPr>
      <w:sz w:val="18"/>
      <w:szCs w:val="18"/>
    </w:rPr>
  </w:style>
  <w:style w:type="paragraph" w:styleId="9">
    <w:name w:val="footer"/>
    <w:basedOn w:val="1"/>
    <w:autoRedefine/>
    <w:qFormat/>
    <w:uiPriority w:val="0"/>
    <w:pPr>
      <w:tabs>
        <w:tab w:val="center" w:pos="4153"/>
        <w:tab w:val="right" w:pos="8306"/>
      </w:tabs>
      <w:snapToGrid w:val="0"/>
      <w:jc w:val="left"/>
    </w:pPr>
    <w:rPr>
      <w:sz w:val="18"/>
      <w:szCs w:val="18"/>
    </w:rPr>
  </w:style>
  <w:style w:type="paragraph" w:styleId="1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style>
  <w:style w:type="paragraph" w:styleId="12">
    <w:name w:val="Body Text 2"/>
    <w:basedOn w:val="1"/>
    <w:link w:val="81"/>
    <w:autoRedefine/>
    <w:qFormat/>
    <w:uiPriority w:val="0"/>
    <w:pPr>
      <w:spacing w:after="120" w:line="480" w:lineRule="auto"/>
    </w:pPr>
  </w:style>
  <w:style w:type="paragraph" w:styleId="13">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4">
    <w:name w:val="annotation subject"/>
    <w:basedOn w:val="5"/>
    <w:next w:val="5"/>
    <w:link w:val="88"/>
    <w:autoRedefine/>
    <w:semiHidden/>
    <w:unhideWhenUsed/>
    <w:qFormat/>
    <w:uiPriority w:val="0"/>
    <w:rPr>
      <w:b/>
      <w:bCs/>
    </w:rPr>
  </w:style>
  <w:style w:type="paragraph" w:styleId="15">
    <w:name w:val="Body Text First Indent 2"/>
    <w:basedOn w:val="7"/>
    <w:link w:val="80"/>
    <w:autoRedefine/>
    <w:qFormat/>
    <w:uiPriority w:val="0"/>
    <w:pPr>
      <w:adjustRightInd/>
      <w:snapToGrid/>
      <w:spacing w:after="120" w:line="240" w:lineRule="auto"/>
      <w:ind w:left="420" w:leftChars="200" w:firstLine="420" w:firstLineChars="200"/>
    </w:pPr>
    <w:rPr>
      <w:sz w:val="21"/>
    </w:rPr>
  </w:style>
  <w:style w:type="table" w:styleId="17">
    <w:name w:val="Table Grid"/>
    <w:basedOn w:val="1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character" w:styleId="20">
    <w:name w:val="FollowedHyperlink"/>
    <w:autoRedefine/>
    <w:unhideWhenUsed/>
    <w:qFormat/>
    <w:uiPriority w:val="99"/>
    <w:rPr>
      <w:color w:val="800080"/>
      <w:u w:val="single"/>
    </w:rPr>
  </w:style>
  <w:style w:type="character" w:styleId="21">
    <w:name w:val="Emphasis"/>
    <w:autoRedefine/>
    <w:qFormat/>
    <w:uiPriority w:val="0"/>
    <w:rPr>
      <w:color w:val="CC0000"/>
    </w:rPr>
  </w:style>
  <w:style w:type="character" w:styleId="22">
    <w:name w:val="Hyperlink"/>
    <w:autoRedefine/>
    <w:qFormat/>
    <w:uiPriority w:val="99"/>
    <w:rPr>
      <w:color w:val="990000"/>
      <w:sz w:val="18"/>
      <w:szCs w:val="18"/>
      <w:u w:val="none"/>
    </w:rPr>
  </w:style>
  <w:style w:type="character" w:styleId="23">
    <w:name w:val="annotation reference"/>
    <w:basedOn w:val="18"/>
    <w:autoRedefine/>
    <w:semiHidden/>
    <w:unhideWhenUsed/>
    <w:qFormat/>
    <w:uiPriority w:val="0"/>
    <w:rPr>
      <w:sz w:val="21"/>
      <w:szCs w:val="21"/>
    </w:rPr>
  </w:style>
  <w:style w:type="character" w:customStyle="1" w:styleId="24">
    <w:name w:val="style21"/>
    <w:autoRedefine/>
    <w:qFormat/>
    <w:uiPriority w:val="0"/>
    <w:rPr>
      <w:sz w:val="22"/>
      <w:szCs w:val="22"/>
    </w:rPr>
  </w:style>
  <w:style w:type="character" w:customStyle="1" w:styleId="25">
    <w:name w:val="font21"/>
    <w:autoRedefine/>
    <w:qFormat/>
    <w:uiPriority w:val="0"/>
    <w:rPr>
      <w:rFonts w:hint="eastAsia" w:ascii="宋体" w:hAnsi="宋体" w:eastAsia="宋体" w:cs="宋体"/>
      <w:color w:val="000000"/>
      <w:sz w:val="20"/>
      <w:szCs w:val="20"/>
      <w:u w:val="none"/>
    </w:rPr>
  </w:style>
  <w:style w:type="character" w:customStyle="1" w:styleId="26">
    <w:name w:val="font41"/>
    <w:autoRedefine/>
    <w:qFormat/>
    <w:uiPriority w:val="0"/>
    <w:rPr>
      <w:rFonts w:ascii="微软雅黑" w:hAnsi="微软雅黑" w:eastAsia="微软雅黑" w:cs="微软雅黑"/>
      <w:b/>
      <w:color w:val="000000"/>
      <w:sz w:val="40"/>
      <w:szCs w:val="40"/>
      <w:u w:val="none"/>
    </w:rPr>
  </w:style>
  <w:style w:type="character" w:customStyle="1" w:styleId="27">
    <w:name w:val="font01"/>
    <w:autoRedefine/>
    <w:qFormat/>
    <w:uiPriority w:val="0"/>
    <w:rPr>
      <w:rFonts w:hint="eastAsia" w:ascii="宋体" w:hAnsi="宋体" w:eastAsia="宋体" w:cs="宋体"/>
      <w:color w:val="000000"/>
      <w:sz w:val="22"/>
      <w:szCs w:val="22"/>
      <w:u w:val="none"/>
    </w:rPr>
  </w:style>
  <w:style w:type="character" w:customStyle="1" w:styleId="28">
    <w:name w:val="font31"/>
    <w:autoRedefine/>
    <w:qFormat/>
    <w:uiPriority w:val="0"/>
    <w:rPr>
      <w:rFonts w:hint="eastAsia" w:ascii="微软雅黑" w:hAnsi="微软雅黑" w:eastAsia="微软雅黑" w:cs="微软雅黑"/>
      <w:color w:val="000000"/>
      <w:sz w:val="20"/>
      <w:szCs w:val="20"/>
      <w:u w:val="none"/>
    </w:rPr>
  </w:style>
  <w:style w:type="paragraph" w:customStyle="1" w:styleId="29">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0">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1">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2">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4">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5">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6">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37">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9">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0">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1">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2">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3">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4">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5">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6">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9">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1">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2">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3">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4">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6">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7">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58">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59">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1">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2">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3">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4">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5">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6">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67">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68">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69">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0">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1">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2">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3">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4">
    <w:name w:val="font51"/>
    <w:basedOn w:val="18"/>
    <w:autoRedefine/>
    <w:qFormat/>
    <w:uiPriority w:val="0"/>
    <w:rPr>
      <w:rFonts w:hint="eastAsia" w:ascii="宋体" w:hAnsi="宋体" w:eastAsia="宋体" w:cs="宋体"/>
      <w:color w:val="000000"/>
      <w:sz w:val="24"/>
      <w:szCs w:val="24"/>
      <w:u w:val="none"/>
    </w:rPr>
  </w:style>
  <w:style w:type="character" w:customStyle="1" w:styleId="75">
    <w:name w:val="font81"/>
    <w:basedOn w:val="18"/>
    <w:autoRedefine/>
    <w:qFormat/>
    <w:uiPriority w:val="0"/>
    <w:rPr>
      <w:rFonts w:hint="eastAsia" w:ascii="宋体" w:hAnsi="宋体" w:eastAsia="宋体" w:cs="宋体"/>
      <w:color w:val="000000"/>
      <w:sz w:val="24"/>
      <w:szCs w:val="24"/>
      <w:u w:val="none"/>
    </w:rPr>
  </w:style>
  <w:style w:type="character" w:customStyle="1" w:styleId="76">
    <w:name w:val="font151"/>
    <w:basedOn w:val="18"/>
    <w:autoRedefine/>
    <w:qFormat/>
    <w:uiPriority w:val="0"/>
    <w:rPr>
      <w:rFonts w:hint="eastAsia" w:ascii="宋体" w:hAnsi="宋体" w:eastAsia="宋体" w:cs="宋体"/>
      <w:b/>
      <w:bCs/>
      <w:color w:val="000000"/>
      <w:sz w:val="24"/>
      <w:szCs w:val="24"/>
      <w:u w:val="none"/>
    </w:rPr>
  </w:style>
  <w:style w:type="character" w:customStyle="1" w:styleId="77">
    <w:name w:val="font161"/>
    <w:basedOn w:val="18"/>
    <w:autoRedefine/>
    <w:qFormat/>
    <w:uiPriority w:val="0"/>
    <w:rPr>
      <w:rFonts w:hint="eastAsia" w:ascii="宋体" w:hAnsi="宋体" w:eastAsia="宋体" w:cs="宋体"/>
      <w:b/>
      <w:bCs/>
      <w:color w:val="000000"/>
      <w:sz w:val="22"/>
      <w:szCs w:val="22"/>
      <w:u w:val="none"/>
    </w:rPr>
  </w:style>
  <w:style w:type="paragraph" w:styleId="78">
    <w:name w:val="List Paragraph"/>
    <w:basedOn w:val="1"/>
    <w:autoRedefine/>
    <w:unhideWhenUsed/>
    <w:qFormat/>
    <w:uiPriority w:val="99"/>
    <w:pPr>
      <w:ind w:firstLine="420" w:firstLineChars="200"/>
    </w:pPr>
  </w:style>
  <w:style w:type="character" w:customStyle="1" w:styleId="79">
    <w:name w:val="正文文本缩进 字符"/>
    <w:basedOn w:val="18"/>
    <w:link w:val="7"/>
    <w:autoRedefine/>
    <w:qFormat/>
    <w:uiPriority w:val="0"/>
    <w:rPr>
      <w:kern w:val="2"/>
      <w:sz w:val="24"/>
      <w:szCs w:val="24"/>
    </w:rPr>
  </w:style>
  <w:style w:type="character" w:customStyle="1" w:styleId="80">
    <w:name w:val="正文文本首行缩进 2 字符"/>
    <w:basedOn w:val="79"/>
    <w:link w:val="15"/>
    <w:autoRedefine/>
    <w:qFormat/>
    <w:uiPriority w:val="0"/>
    <w:rPr>
      <w:kern w:val="2"/>
      <w:sz w:val="24"/>
      <w:szCs w:val="24"/>
    </w:rPr>
  </w:style>
  <w:style w:type="character" w:customStyle="1" w:styleId="81">
    <w:name w:val="正文文本 2 字符"/>
    <w:basedOn w:val="18"/>
    <w:link w:val="12"/>
    <w:autoRedefine/>
    <w:qFormat/>
    <w:uiPriority w:val="0"/>
    <w:rPr>
      <w:kern w:val="2"/>
      <w:sz w:val="21"/>
      <w:szCs w:val="24"/>
    </w:rPr>
  </w:style>
  <w:style w:type="paragraph" w:customStyle="1" w:styleId="82">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3">
    <w:name w:val="标题 2 字符"/>
    <w:basedOn w:val="18"/>
    <w:link w:val="2"/>
    <w:autoRedefine/>
    <w:qFormat/>
    <w:uiPriority w:val="0"/>
    <w:rPr>
      <w:rFonts w:ascii="Arial" w:hAnsi="Arial"/>
      <w:b/>
      <w:bCs/>
      <w:kern w:val="2"/>
      <w:sz w:val="24"/>
      <w:szCs w:val="32"/>
    </w:rPr>
  </w:style>
  <w:style w:type="character" w:customStyle="1" w:styleId="84">
    <w:name w:val="正文文本 字符"/>
    <w:basedOn w:val="18"/>
    <w:link w:val="6"/>
    <w:autoRedefine/>
    <w:qFormat/>
    <w:uiPriority w:val="0"/>
    <w:rPr>
      <w:kern w:val="2"/>
      <w:sz w:val="21"/>
      <w:szCs w:val="24"/>
    </w:rPr>
  </w:style>
  <w:style w:type="paragraph" w:customStyle="1" w:styleId="85">
    <w:name w:val="EndnoteText"/>
    <w:basedOn w:val="1"/>
    <w:autoRedefine/>
    <w:qFormat/>
    <w:uiPriority w:val="0"/>
  </w:style>
  <w:style w:type="paragraph" w:customStyle="1" w:styleId="86">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87">
    <w:name w:val="批注文字 字符"/>
    <w:basedOn w:val="18"/>
    <w:link w:val="5"/>
    <w:autoRedefine/>
    <w:semiHidden/>
    <w:qFormat/>
    <w:uiPriority w:val="0"/>
    <w:rPr>
      <w:kern w:val="2"/>
      <w:sz w:val="21"/>
      <w:szCs w:val="24"/>
    </w:rPr>
  </w:style>
  <w:style w:type="character" w:customStyle="1" w:styleId="88">
    <w:name w:val="批注主题 字符"/>
    <w:basedOn w:val="87"/>
    <w:link w:val="14"/>
    <w:autoRedefine/>
    <w:semiHidden/>
    <w:qFormat/>
    <w:uiPriority w:val="0"/>
    <w:rPr>
      <w:b/>
      <w:bCs/>
      <w:kern w:val="2"/>
      <w:sz w:val="21"/>
      <w:szCs w:val="24"/>
    </w:rPr>
  </w:style>
  <w:style w:type="character" w:customStyle="1" w:styleId="89">
    <w:name w:val="15"/>
    <w:autoRedefine/>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1165</Words>
  <Characters>6642</Characters>
  <Lines>55</Lines>
  <Paragraphs>15</Paragraphs>
  <TotalTime>6</TotalTime>
  <ScaleCrop>false</ScaleCrop>
  <LinksUpToDate>false</LinksUpToDate>
  <CharactersWithSpaces>7792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2016-03-07T08:05:00Z</dcterms:created>
  <dc:creator>jwc</dc:creator>
  <cp:lastModifiedBy>.oоО镶嵌</cp:lastModifiedBy>
  <cp:lastPrinted>2009-02-17T01:24:00Z</cp:lastPrinted>
  <dcterms:modified xsi:type="dcterms:W3CDTF">2024-03-28T07:45:03Z</dcterms:modified>
  <dc:title>湖南科技大学2005-2006年教材招标</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802DA86CDF814173A6CDB4F4EFC93E50_13</vt:lpwstr>
  </property>
</Properties>
</file>